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5C9A" w14:textId="2EFACBCE" w:rsidR="00CB22C9" w:rsidRDefault="00BC628E">
      <w:pPr>
        <w:tabs>
          <w:tab w:val="right" w:pos="9639"/>
        </w:tabs>
        <w:spacing w:after="0"/>
        <w:rPr>
          <w:rFonts w:ascii="Arial" w:hAnsi="Arial" w:cs="Arial"/>
          <w:b/>
          <w:sz w:val="28"/>
          <w:lang w:val="en-US"/>
        </w:rPr>
      </w:pPr>
      <w:r>
        <w:rPr>
          <w:rFonts w:ascii="Arial" w:hAnsi="Arial" w:cs="Arial"/>
          <w:b/>
          <w:sz w:val="24"/>
          <w:lang w:val="en-US"/>
        </w:rPr>
        <w:t>3GPP TSG-RAN WG2 Meeting #12</w:t>
      </w:r>
      <w:r w:rsidR="00BE3920">
        <w:rPr>
          <w:rFonts w:ascii="Arial" w:hAnsi="Arial" w:cs="Arial"/>
          <w:b/>
          <w:sz w:val="24"/>
          <w:lang w:val="en-US"/>
        </w:rPr>
        <w:t>5</w:t>
      </w:r>
      <w:r>
        <w:rPr>
          <w:rFonts w:ascii="Arial" w:hAnsi="Arial" w:cs="Arial"/>
          <w:b/>
          <w:i/>
          <w:sz w:val="28"/>
          <w:lang w:val="en-US"/>
        </w:rPr>
        <w:tab/>
      </w:r>
      <w:r w:rsidR="009C1AF4" w:rsidRPr="00413909">
        <w:rPr>
          <w:rFonts w:ascii="Arial" w:hAnsi="Arial" w:cs="Arial"/>
          <w:b/>
          <w:sz w:val="24"/>
          <w:lang w:val="en-US"/>
        </w:rPr>
        <w:t>R2-</w:t>
      </w:r>
      <w:r w:rsidR="00FC5244" w:rsidRPr="00413909">
        <w:rPr>
          <w:rFonts w:ascii="Arial" w:hAnsi="Arial" w:cs="Arial"/>
          <w:b/>
          <w:sz w:val="24"/>
          <w:lang w:val="en-US"/>
        </w:rPr>
        <w:t>2</w:t>
      </w:r>
      <w:r w:rsidR="00FC5244">
        <w:rPr>
          <w:rFonts w:ascii="Arial" w:hAnsi="Arial" w:cs="Arial"/>
          <w:b/>
          <w:sz w:val="24"/>
          <w:lang w:val="en-US"/>
        </w:rPr>
        <w:t>401261</w:t>
      </w:r>
    </w:p>
    <w:p w14:paraId="44F15849" w14:textId="376AFEBE" w:rsidR="00CB22C9" w:rsidRDefault="00BE3920">
      <w:pPr>
        <w:tabs>
          <w:tab w:val="right" w:pos="9639"/>
        </w:tabs>
        <w:overflowPunct/>
        <w:autoSpaceDE/>
        <w:autoSpaceDN/>
        <w:adjustRightInd/>
        <w:spacing w:after="0"/>
        <w:jc w:val="left"/>
        <w:rPr>
          <w:rFonts w:ascii="Arial" w:hAnsi="Arial" w:cs="Arial"/>
          <w:b/>
          <w:sz w:val="24"/>
          <w:szCs w:val="22"/>
          <w:lang w:eastAsia="en-US"/>
        </w:rPr>
      </w:pPr>
      <w:r>
        <w:rPr>
          <w:rFonts w:ascii="Arial" w:eastAsia="Times New Roman" w:hAnsi="Arial" w:cs="Arial"/>
          <w:b/>
          <w:sz w:val="24"/>
          <w:szCs w:val="24"/>
          <w:lang w:eastAsia="en-US"/>
        </w:rPr>
        <w:t>Athens, Greece</w:t>
      </w:r>
      <w:r w:rsidR="00FC5244">
        <w:rPr>
          <w:rFonts w:ascii="Arial" w:eastAsia="Times New Roman" w:hAnsi="Arial" w:cs="Arial"/>
          <w:b/>
          <w:sz w:val="24"/>
          <w:szCs w:val="24"/>
          <w:lang w:eastAsia="en-US"/>
        </w:rPr>
        <w:t>,</w:t>
      </w:r>
      <w:r w:rsidR="00BC628E">
        <w:rPr>
          <w:rFonts w:ascii="Arial" w:eastAsia="Times New Roman" w:hAnsi="Arial" w:cs="Arial"/>
          <w:b/>
          <w:sz w:val="24"/>
          <w:szCs w:val="24"/>
          <w:lang w:eastAsia="en-US"/>
        </w:rPr>
        <w:t xml:space="preserve"> </w:t>
      </w:r>
      <w:r>
        <w:rPr>
          <w:rFonts w:ascii="Arial" w:eastAsia="Times New Roman" w:hAnsi="Arial" w:cs="Arial"/>
          <w:b/>
          <w:sz w:val="24"/>
          <w:szCs w:val="24"/>
          <w:lang w:eastAsia="en-US"/>
        </w:rPr>
        <w:t>26</w:t>
      </w:r>
      <w:r>
        <w:rPr>
          <w:rFonts w:ascii="Arial" w:eastAsia="Times New Roman" w:hAnsi="Arial" w:cs="Arial"/>
          <w:b/>
          <w:sz w:val="24"/>
          <w:szCs w:val="24"/>
          <w:vertAlign w:val="superscript"/>
          <w:lang w:eastAsia="en-US"/>
        </w:rPr>
        <w:t>th</w:t>
      </w:r>
      <w:r>
        <w:rPr>
          <w:rFonts w:ascii="Arial" w:eastAsia="Times New Roman" w:hAnsi="Arial" w:cs="Arial"/>
          <w:b/>
          <w:sz w:val="24"/>
          <w:szCs w:val="24"/>
          <w:lang w:eastAsia="en-US"/>
        </w:rPr>
        <w:t xml:space="preserve"> Feb</w:t>
      </w:r>
      <w:r w:rsidR="00BC628E">
        <w:rPr>
          <w:rFonts w:ascii="Arial" w:eastAsia="Times New Roman" w:hAnsi="Arial" w:cs="Arial"/>
          <w:b/>
          <w:sz w:val="24"/>
          <w:szCs w:val="24"/>
          <w:lang w:eastAsia="en-US"/>
        </w:rPr>
        <w:t xml:space="preserve">– </w:t>
      </w:r>
      <w:r>
        <w:rPr>
          <w:rFonts w:ascii="Arial" w:eastAsia="Times New Roman" w:hAnsi="Arial" w:cs="Arial"/>
          <w:b/>
          <w:sz w:val="24"/>
          <w:szCs w:val="24"/>
          <w:lang w:eastAsia="en-US"/>
        </w:rPr>
        <w:t>1</w:t>
      </w:r>
      <w:r>
        <w:rPr>
          <w:rFonts w:ascii="Arial" w:eastAsia="Times New Roman" w:hAnsi="Arial" w:cs="Arial"/>
          <w:b/>
          <w:sz w:val="24"/>
          <w:szCs w:val="24"/>
          <w:vertAlign w:val="superscript"/>
          <w:lang w:eastAsia="en-US"/>
        </w:rPr>
        <w:t>st</w:t>
      </w:r>
      <w:r w:rsidR="00BC628E">
        <w:rPr>
          <w:rFonts w:ascii="Arial" w:eastAsia="Times New Roman" w:hAnsi="Arial" w:cs="Arial"/>
          <w:b/>
          <w:sz w:val="24"/>
          <w:szCs w:val="24"/>
          <w:lang w:eastAsia="en-US"/>
        </w:rPr>
        <w:t xml:space="preserve"> </w:t>
      </w:r>
      <w:r>
        <w:rPr>
          <w:rFonts w:ascii="Arial" w:eastAsia="Times New Roman" w:hAnsi="Arial" w:cs="Arial"/>
          <w:b/>
          <w:sz w:val="24"/>
          <w:szCs w:val="24"/>
          <w:lang w:eastAsia="en-US"/>
        </w:rPr>
        <w:t>Mar</w:t>
      </w:r>
      <w:r w:rsidR="00BC628E">
        <w:rPr>
          <w:rFonts w:ascii="Arial" w:eastAsia="Times New Roman" w:hAnsi="Arial" w:cs="Arial"/>
          <w:b/>
          <w:sz w:val="24"/>
          <w:szCs w:val="24"/>
          <w:lang w:eastAsia="en-US"/>
        </w:rPr>
        <w:t>,</w:t>
      </w:r>
      <w:r w:rsidR="00BC628E">
        <w:rPr>
          <w:rFonts w:ascii="Arial" w:eastAsia="MS Mincho" w:hAnsi="Arial" w:cs="Arial"/>
          <w:b/>
          <w:sz w:val="24"/>
          <w:szCs w:val="22"/>
          <w:lang w:eastAsia="en-US"/>
        </w:rPr>
        <w:t xml:space="preserve"> 202</w:t>
      </w:r>
      <w:r>
        <w:rPr>
          <w:rFonts w:ascii="Arial" w:eastAsia="MS Mincho" w:hAnsi="Arial" w:cs="Arial"/>
          <w:b/>
          <w:sz w:val="24"/>
          <w:szCs w:val="22"/>
          <w:lang w:eastAsia="en-US"/>
        </w:rPr>
        <w:t>4</w:t>
      </w:r>
    </w:p>
    <w:p w14:paraId="79D4C846" w14:textId="77777777" w:rsidR="00CB22C9" w:rsidRDefault="00CB22C9">
      <w:pPr>
        <w:pStyle w:val="3GPPHeader"/>
        <w:rPr>
          <w:lang w:eastAsia="en-US"/>
        </w:rPr>
      </w:pPr>
    </w:p>
    <w:p w14:paraId="73142AE0" w14:textId="77777777" w:rsidR="00CB22C9" w:rsidRDefault="00BC628E">
      <w:pPr>
        <w:pStyle w:val="3GPPHeader"/>
        <w:tabs>
          <w:tab w:val="clear" w:pos="1701"/>
          <w:tab w:val="left" w:pos="1815"/>
        </w:tabs>
        <w:rPr>
          <w:lang w:eastAsia="en-US"/>
        </w:rPr>
      </w:pPr>
      <w:r>
        <w:rPr>
          <w:lang w:eastAsia="en-US"/>
        </w:rPr>
        <w:t>Agenda Item:</w:t>
      </w:r>
      <w:r>
        <w:rPr>
          <w:lang w:eastAsia="en-US"/>
        </w:rPr>
        <w:tab/>
        <w:t>7.11.3</w:t>
      </w:r>
      <w:r>
        <w:rPr>
          <w:lang w:eastAsia="en-US"/>
        </w:rPr>
        <w:tab/>
      </w:r>
    </w:p>
    <w:p w14:paraId="67BDC08B" w14:textId="77777777" w:rsidR="00CB22C9" w:rsidRDefault="00BC628E">
      <w:pPr>
        <w:pStyle w:val="3GPPHeader"/>
        <w:tabs>
          <w:tab w:val="clear" w:pos="1701"/>
          <w:tab w:val="left" w:pos="1815"/>
        </w:tabs>
        <w:rPr>
          <w:lang w:eastAsia="en-US"/>
        </w:rPr>
      </w:pPr>
      <w:r>
        <w:rPr>
          <w:lang w:eastAsia="en-US"/>
        </w:rPr>
        <w:t>Source:</w:t>
      </w:r>
      <w:r>
        <w:rPr>
          <w:lang w:eastAsia="en-US"/>
        </w:rPr>
        <w:tab/>
        <w:t>Huawei, HiSilicon</w:t>
      </w:r>
    </w:p>
    <w:p w14:paraId="7590875C" w14:textId="44FDC497" w:rsidR="00CB22C9" w:rsidRDefault="00BC628E">
      <w:pPr>
        <w:pStyle w:val="3GPPHeader"/>
        <w:tabs>
          <w:tab w:val="clear" w:pos="1701"/>
          <w:tab w:val="left" w:pos="1815"/>
        </w:tabs>
        <w:rPr>
          <w:lang w:eastAsia="en-US"/>
        </w:rPr>
      </w:pPr>
      <w:r>
        <w:rPr>
          <w:lang w:eastAsia="en-US"/>
        </w:rPr>
        <w:t>Title:</w:t>
      </w:r>
      <w:r>
        <w:rPr>
          <w:lang w:eastAsia="en-US"/>
        </w:rPr>
        <w:tab/>
      </w:r>
      <w:r w:rsidR="009C1AF4" w:rsidRPr="009C1AF4">
        <w:rPr>
          <w:lang w:eastAsia="en-US"/>
        </w:rPr>
        <w:t>Discussion on shared processing for MBS broadcast and unicast reception</w:t>
      </w:r>
    </w:p>
    <w:p w14:paraId="44A5BFB8" w14:textId="77777777" w:rsidR="00CB22C9" w:rsidRDefault="00BC628E">
      <w:pPr>
        <w:pStyle w:val="3GPPHeader"/>
        <w:rPr>
          <w:lang w:eastAsia="en-US"/>
        </w:rPr>
      </w:pPr>
      <w:r>
        <w:rPr>
          <w:lang w:eastAsia="en-US"/>
        </w:rPr>
        <w:t>Document for:   Discussion and decision</w:t>
      </w:r>
    </w:p>
    <w:p w14:paraId="25B8D3E1" w14:textId="77777777" w:rsidR="00CB22C9" w:rsidRDefault="00BC628E">
      <w:pPr>
        <w:pStyle w:val="1"/>
        <w:rPr>
          <w:rFonts w:eastAsia="Malgun Gothic"/>
        </w:rPr>
      </w:pPr>
      <w:r>
        <w:rPr>
          <w:rFonts w:eastAsia="Malgun Gothic"/>
        </w:rPr>
        <w:t>Introduction</w:t>
      </w:r>
    </w:p>
    <w:p w14:paraId="3EA53701" w14:textId="4ED906DC" w:rsidR="00CB22C9" w:rsidRDefault="00BC628E">
      <w:pPr>
        <w:spacing w:beforeLines="50" w:before="120"/>
      </w:pPr>
      <w:r>
        <w:t xml:space="preserve">In this contribution, we </w:t>
      </w:r>
      <w:r>
        <w:rPr>
          <w:bCs/>
        </w:rPr>
        <w:t>further analyse the remaining issue for shared processing.</w:t>
      </w:r>
    </w:p>
    <w:p w14:paraId="633BFA27" w14:textId="77777777" w:rsidR="00CB22C9" w:rsidRDefault="00BC628E">
      <w:pPr>
        <w:pStyle w:val="1"/>
        <w:rPr>
          <w:rFonts w:eastAsiaTheme="minorEastAsia"/>
        </w:rPr>
      </w:pPr>
      <w:r>
        <w:rPr>
          <w:rFonts w:eastAsiaTheme="minorEastAsia"/>
        </w:rPr>
        <w:t>Discussion</w:t>
      </w:r>
    </w:p>
    <w:p w14:paraId="6E410D28" w14:textId="43DE7E6E" w:rsidR="00027A38" w:rsidRPr="00027A38" w:rsidRDefault="00027A38" w:rsidP="00027A38">
      <w:pPr>
        <w:outlineLvl w:val="1"/>
        <w:rPr>
          <w:rFonts w:ascii="Arial" w:hAnsi="Arial" w:cs="Arial" w:hint="eastAsia"/>
          <w:sz w:val="24"/>
        </w:rPr>
      </w:pPr>
      <w:r w:rsidRPr="00080F3D">
        <w:rPr>
          <w:rFonts w:ascii="Arial" w:hAnsi="Arial" w:cs="Arial"/>
          <w:sz w:val="24"/>
        </w:rPr>
        <w:t>2.1 Additional information report</w:t>
      </w:r>
      <w:r>
        <w:rPr>
          <w:rFonts w:ascii="Arial" w:hAnsi="Arial" w:cs="Arial"/>
          <w:sz w:val="24"/>
        </w:rPr>
        <w:t>ed</w:t>
      </w:r>
      <w:r w:rsidRPr="00080F3D">
        <w:rPr>
          <w:rFonts w:ascii="Arial" w:hAnsi="Arial" w:cs="Arial"/>
          <w:sz w:val="24"/>
        </w:rPr>
        <w:t xml:space="preserve"> in MII</w:t>
      </w:r>
    </w:p>
    <w:p w14:paraId="7054623B" w14:textId="10CB9C8A" w:rsidR="00CB22C9" w:rsidRDefault="00BC628E">
      <w:r>
        <w:t>In previous meetings, it was agreed that frequency/SCS/CFR bandwidth (</w:t>
      </w:r>
      <w:r w:rsidR="00D627E2">
        <w:t xml:space="preserve">optionally bandwidth and </w:t>
      </w:r>
      <w:r>
        <w:t xml:space="preserve">location) of the non-serving cell will be included in MII. </w:t>
      </w:r>
      <w:r w:rsidR="00F93508">
        <w:t xml:space="preserve">In case the additional information (i.e. SCS and CFR information) are not available at the time of sending the MII to the unicast serving </w:t>
      </w:r>
      <w:proofErr w:type="spellStart"/>
      <w:r w:rsidR="00F93508">
        <w:t>gNB</w:t>
      </w:r>
      <w:proofErr w:type="spellEnd"/>
      <w:r w:rsidR="00F93508">
        <w:rPr>
          <w:rFonts w:hint="eastAsia"/>
        </w:rPr>
        <w:t>,</w:t>
      </w:r>
      <w:r w:rsidR="00F93508">
        <w:t xml:space="preserve"> the UE reports the frequency in the first MII, and then reports the updated MII after acquiring additional information from the non-serving cell. </w:t>
      </w:r>
      <w:r w:rsidR="00EC154C">
        <w:t>The intention of s</w:t>
      </w:r>
      <w:r w:rsidR="00F93508">
        <w:t xml:space="preserve">uch two-step MII reporting is to avoid interruption of on-going unicast on the serving cell, resulting from reading </w:t>
      </w:r>
      <w:r w:rsidR="00EC154C">
        <w:t>system information</w:t>
      </w:r>
      <w:r w:rsidR="00F93508">
        <w:t xml:space="preserve"> from the MBS broadcast non-serving </w:t>
      </w:r>
      <w:proofErr w:type="spellStart"/>
      <w:proofErr w:type="gramStart"/>
      <w:r w:rsidR="00F93508">
        <w:t>cell.</w:t>
      </w:r>
      <w:r>
        <w:t>We</w:t>
      </w:r>
      <w:proofErr w:type="spellEnd"/>
      <w:proofErr w:type="gramEnd"/>
      <w:r>
        <w:t xml:space="preserve"> would like to </w:t>
      </w:r>
      <w:r w:rsidR="0067198F">
        <w:t xml:space="preserve">first </w:t>
      </w:r>
      <w:r>
        <w:t>share our understanding on how the MII is used by the serving gNB. In order to determine which FSPC can be used for broadcast reception of the non-serving cell, the serving gNB should be aware of the followin</w:t>
      </w:r>
      <w:r w:rsidRPr="00413909">
        <w:t>g:</w:t>
      </w:r>
      <w:proofErr w:type="gramStart"/>
      <w:r w:rsidRPr="00413909">
        <w:t>1)the</w:t>
      </w:r>
      <w:proofErr w:type="gramEnd"/>
      <w:r w:rsidRPr="00413909">
        <w:t xml:space="preserve"> FSPC that supports the non-serving cell broadcast based on UE's reported capability; 2) the frequency band/SCS/CC BW capability corresponding to this FSPC matches with the information reported in the MII. Based on this, the serving gNB can enable simultaneous unicast/multicast and broadcast reception by, e.g. releasing the </w:t>
      </w:r>
      <w:proofErr w:type="spellStart"/>
      <w:r w:rsidRPr="00413909">
        <w:t>SCell</w:t>
      </w:r>
      <w:proofErr w:type="spellEnd"/>
      <w:r w:rsidRPr="00413909">
        <w:t xml:space="preserve"> related to the</w:t>
      </w:r>
      <w:r>
        <w:t xml:space="preserve"> FSPC used for broadcast reception (e.g. FS4 in Figure-1), and scheduling unicast/multicast according to the remaining FS capability (e.g. FS1 and FS3 in the second line in Figure-1). </w:t>
      </w:r>
    </w:p>
    <w:p w14:paraId="4423CB45" w14:textId="77777777" w:rsidR="00CB22C9" w:rsidRDefault="00BC628E">
      <w:pPr>
        <w:jc w:val="center"/>
      </w:pPr>
      <w:r>
        <w:rPr>
          <w:noProof/>
        </w:rPr>
        <w:drawing>
          <wp:inline distT="0" distB="0" distL="0" distR="0" wp14:anchorId="41FD0D70" wp14:editId="23F94726">
            <wp:extent cx="3285490" cy="172847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3301774" cy="1737380"/>
                    </a:xfrm>
                    <a:prstGeom prst="rect">
                      <a:avLst/>
                    </a:prstGeom>
                  </pic:spPr>
                </pic:pic>
              </a:graphicData>
            </a:graphic>
          </wp:inline>
        </w:drawing>
      </w:r>
    </w:p>
    <w:p w14:paraId="2C3A01D1" w14:textId="77777777" w:rsidR="00CB22C9" w:rsidRDefault="00BC628E">
      <w:pPr>
        <w:jc w:val="center"/>
      </w:pPr>
      <w:r>
        <w:t>Figure-1 BC and FSC for unicast in serving cell(s) and broadcast in non-serving cell(s)</w:t>
      </w:r>
    </w:p>
    <w:p w14:paraId="48646A0B" w14:textId="53F28097" w:rsidR="00CB22C9" w:rsidRDefault="00BC628E">
      <w:pPr>
        <w:rPr>
          <w:b/>
        </w:rPr>
      </w:pPr>
      <w:r>
        <w:rPr>
          <w:rFonts w:hint="eastAsia"/>
          <w:b/>
        </w:rPr>
        <w:t>O</w:t>
      </w:r>
      <w:r>
        <w:rPr>
          <w:b/>
        </w:rPr>
        <w:t>bservation 1: The serving gNB determines which FSPC can be used for broadcast reception of non-serving cell according to the MII.</w:t>
      </w:r>
    </w:p>
    <w:p w14:paraId="193C0244" w14:textId="77777777" w:rsidR="00080F3D" w:rsidRDefault="00080F3D">
      <w:pPr>
        <w:rPr>
          <w:b/>
        </w:rPr>
      </w:pPr>
    </w:p>
    <w:p w14:paraId="3A68203C" w14:textId="2DC85D71" w:rsidR="00080F3D" w:rsidRDefault="0067198F" w:rsidP="0067198F">
      <w:r>
        <w:rPr>
          <w:rFonts w:hint="eastAsia"/>
        </w:rPr>
        <w:t>D</w:t>
      </w:r>
      <w:r>
        <w:t xml:space="preserve">uring ASN.1 review, </w:t>
      </w:r>
      <w:r w:rsidR="00080F3D">
        <w:t>there were RILs (N032/N035) raised about</w:t>
      </w:r>
      <w:r>
        <w:t xml:space="preserve"> whether it is possible that the UE cannot acquire SCS and CFR information at the same time</w:t>
      </w:r>
      <w:r w:rsidRPr="00FA1898">
        <w:t xml:space="preserve"> </w:t>
      </w:r>
      <w:r>
        <w:t xml:space="preserve">when reporting MII. </w:t>
      </w:r>
      <w:r w:rsidR="00080F3D">
        <w:t>F</w:t>
      </w:r>
      <w:r w:rsidR="00080F3D">
        <w:rPr>
          <w:rFonts w:hint="eastAsia"/>
        </w:rPr>
        <w:t>o</w:t>
      </w:r>
      <w:r w:rsidR="00080F3D">
        <w:t xml:space="preserve">r example, UE may have SCS information but no CFR information. Firstly, we think this is rather a corner case since both kinds of information are acquired via system information and NW can make sure the UE can get both kinds of information. Besides, even if this case happens, it is up to UE implementation to report the complete MII after acquiring all necessary information. From NW perspective, it is </w:t>
      </w:r>
      <w:r w:rsidR="00080F3D">
        <w:lastRenderedPageBreak/>
        <w:t>useless for the UE to report SCS without CFR information in the MII since the NW is not able to determine the FSPC used for non-serving cell broadcast reception accurately without the CFR information.</w:t>
      </w:r>
    </w:p>
    <w:p w14:paraId="6824B64F" w14:textId="43B8EB94" w:rsidR="0067198F" w:rsidRDefault="00080F3D" w:rsidP="00080F3D">
      <w:r>
        <w:rPr>
          <w:rFonts w:hint="eastAsia"/>
        </w:rPr>
        <w:t>N</w:t>
      </w:r>
      <w:r>
        <w:t>ote that to further enhance for this case, the current procedures including the MII initiation and MII content setting should be updated. And there may be also a three-step MII that needs to be considered.</w:t>
      </w:r>
      <w:r w:rsidR="0067198F">
        <w:t xml:space="preserve"> For example, the UE first reports </w:t>
      </w:r>
      <w:r>
        <w:t xml:space="preserve">frequency in the first MII and then </w:t>
      </w:r>
      <w:r w:rsidR="0067198F">
        <w:t xml:space="preserve">the SCS </w:t>
      </w:r>
      <w:r>
        <w:t xml:space="preserve">in the second MII </w:t>
      </w:r>
      <w:r w:rsidR="0067198F">
        <w:t xml:space="preserve">and </w:t>
      </w:r>
      <w:r>
        <w:t>at last</w:t>
      </w:r>
      <w:r w:rsidR="0067198F">
        <w:t xml:space="preserve"> reports the CFR information </w:t>
      </w:r>
      <w:r>
        <w:t>in the third MII</w:t>
      </w:r>
      <w:r w:rsidR="0067198F">
        <w:t xml:space="preserve">. </w:t>
      </w:r>
      <w:r>
        <w:t xml:space="preserve">This will make the whole procedure more complicated. </w:t>
      </w:r>
      <w:proofErr w:type="gramStart"/>
      <w:r>
        <w:t>So</w:t>
      </w:r>
      <w:proofErr w:type="gramEnd"/>
      <w:r>
        <w:t xml:space="preserve"> we would prefer not to optimize for this corner case. </w:t>
      </w:r>
    </w:p>
    <w:p w14:paraId="47B7C6CD" w14:textId="08FFE4B0" w:rsidR="0067198F" w:rsidRDefault="0067198F" w:rsidP="0067198F">
      <w:pPr>
        <w:rPr>
          <w:b/>
        </w:rPr>
      </w:pPr>
      <w:r w:rsidRPr="0067198F">
        <w:rPr>
          <w:b/>
        </w:rPr>
        <w:t xml:space="preserve">Proposal 1: </w:t>
      </w:r>
      <w:r w:rsidR="00080F3D">
        <w:rPr>
          <w:b/>
        </w:rPr>
        <w:t>RAN2 confirms that SCS and CFR information should be reported together when both are available.</w:t>
      </w:r>
      <w:r w:rsidRPr="0067198F">
        <w:rPr>
          <w:b/>
        </w:rPr>
        <w:t xml:space="preserve"> </w:t>
      </w:r>
    </w:p>
    <w:p w14:paraId="42E11E64" w14:textId="77777777" w:rsidR="00080F3D" w:rsidRPr="0067198F" w:rsidRDefault="00080F3D" w:rsidP="0067198F">
      <w:pPr>
        <w:rPr>
          <w:b/>
        </w:rPr>
      </w:pPr>
    </w:p>
    <w:p w14:paraId="3E29C839" w14:textId="5F368CFC" w:rsidR="00080F3D" w:rsidRPr="00080F3D" w:rsidRDefault="00080F3D" w:rsidP="00080F3D">
      <w:pPr>
        <w:outlineLvl w:val="1"/>
        <w:rPr>
          <w:rFonts w:ascii="Arial" w:hAnsi="Arial" w:cs="Arial"/>
          <w:sz w:val="24"/>
        </w:rPr>
      </w:pPr>
      <w:r w:rsidRPr="00B00D61">
        <w:rPr>
          <w:rFonts w:ascii="Arial" w:hAnsi="Arial" w:cs="Arial"/>
          <w:sz w:val="24"/>
        </w:rPr>
        <w:t>2.</w:t>
      </w:r>
      <w:r w:rsidR="00027A38">
        <w:rPr>
          <w:rFonts w:ascii="Arial" w:hAnsi="Arial" w:cs="Arial"/>
          <w:sz w:val="24"/>
        </w:rPr>
        <w:t>2</w:t>
      </w:r>
      <w:bookmarkStart w:id="0" w:name="_GoBack"/>
      <w:bookmarkEnd w:id="0"/>
      <w:r w:rsidRPr="00B00D61">
        <w:rPr>
          <w:rFonts w:ascii="Arial" w:hAnsi="Arial" w:cs="Arial"/>
          <w:sz w:val="24"/>
        </w:rPr>
        <w:t xml:space="preserve"> </w:t>
      </w:r>
      <w:r w:rsidRPr="00080F3D">
        <w:rPr>
          <w:rFonts w:ascii="Arial" w:hAnsi="Arial" w:cs="Arial"/>
          <w:sz w:val="24"/>
        </w:rPr>
        <w:t>Band filter for MBS capability enquiry</w:t>
      </w:r>
    </w:p>
    <w:p w14:paraId="4F450DE6" w14:textId="2EF9BF39" w:rsidR="00CB22C9" w:rsidRDefault="00BC628E">
      <w:r>
        <w:t xml:space="preserve">According to the current TS 38.331, the reported band combinations in UE capability can only include the frequency bands within the band filter provided by the gNB (i.e. </w:t>
      </w:r>
      <w:proofErr w:type="spellStart"/>
      <w:r>
        <w:rPr>
          <w:i/>
        </w:rPr>
        <w:t>frequencyBandListFilter</w:t>
      </w:r>
      <w:proofErr w:type="spellEnd"/>
      <w:r>
        <w:t xml:space="preserve">).  </w:t>
      </w:r>
    </w:p>
    <w:tbl>
      <w:tblPr>
        <w:tblStyle w:val="af1"/>
        <w:tblW w:w="9629" w:type="dxa"/>
        <w:tblLayout w:type="fixed"/>
        <w:tblLook w:val="04A0" w:firstRow="1" w:lastRow="0" w:firstColumn="1" w:lastColumn="0" w:noHBand="0" w:noVBand="1"/>
      </w:tblPr>
      <w:tblGrid>
        <w:gridCol w:w="9629"/>
      </w:tblGrid>
      <w:tr w:rsidR="00CB22C9" w14:paraId="0F526EC9" w14:textId="77777777">
        <w:tc>
          <w:tcPr>
            <w:tcW w:w="9629" w:type="dxa"/>
          </w:tcPr>
          <w:p w14:paraId="27330B98" w14:textId="77777777" w:rsidR="00CB22C9" w:rsidRPr="00413909" w:rsidRDefault="00BC628E">
            <w:pPr>
              <w:spacing w:after="180"/>
              <w:jc w:val="left"/>
              <w:textAlignment w:val="baseline"/>
              <w:rPr>
                <w:rFonts w:eastAsia="Times New Roman"/>
                <w:sz w:val="18"/>
                <w:szCs w:val="18"/>
                <w:lang w:eastAsia="ja-JP"/>
              </w:rPr>
            </w:pPr>
            <w:r w:rsidRPr="00413909">
              <w:rPr>
                <w:rFonts w:eastAsia="Times New Roman"/>
                <w:sz w:val="18"/>
                <w:szCs w:val="18"/>
                <w:lang w:eastAsia="ja-JP"/>
              </w:rPr>
              <w:t>The UE shall:</w:t>
            </w:r>
          </w:p>
          <w:p w14:paraId="6C50944B" w14:textId="77777777" w:rsidR="00CB22C9" w:rsidRPr="00413909" w:rsidRDefault="00BC628E">
            <w:pPr>
              <w:spacing w:after="180"/>
              <w:ind w:left="568" w:hanging="284"/>
              <w:jc w:val="left"/>
              <w:textAlignment w:val="baseline"/>
              <w:rPr>
                <w:rFonts w:eastAsia="Times New Roman"/>
                <w:sz w:val="18"/>
                <w:szCs w:val="18"/>
                <w:lang w:eastAsia="ja-JP"/>
              </w:rPr>
            </w:pPr>
            <w:r w:rsidRPr="00413909">
              <w:rPr>
                <w:rFonts w:eastAsia="Times New Roman"/>
                <w:sz w:val="18"/>
                <w:szCs w:val="18"/>
                <w:lang w:eastAsia="ja-JP"/>
              </w:rPr>
              <w:t>1&gt;</w:t>
            </w:r>
            <w:r w:rsidRPr="00413909">
              <w:rPr>
                <w:rFonts w:eastAsia="Times New Roman"/>
                <w:sz w:val="18"/>
                <w:szCs w:val="18"/>
                <w:lang w:eastAsia="ja-JP"/>
              </w:rPr>
              <w:tab/>
              <w:t xml:space="preserve">compile a list of "candidate band combinations" according to the filter criteria in </w:t>
            </w:r>
            <w:proofErr w:type="spellStart"/>
            <w:r w:rsidRPr="00413909">
              <w:rPr>
                <w:rFonts w:eastAsia="Times New Roman"/>
                <w:i/>
                <w:sz w:val="18"/>
                <w:szCs w:val="18"/>
                <w:lang w:eastAsia="ja-JP"/>
              </w:rPr>
              <w:t>capabilityRequestFilterCommon</w:t>
            </w:r>
            <w:proofErr w:type="spellEnd"/>
            <w:r w:rsidRPr="00413909">
              <w:rPr>
                <w:rFonts w:eastAsia="Times New Roman"/>
                <w:i/>
                <w:sz w:val="18"/>
                <w:szCs w:val="18"/>
                <w:lang w:eastAsia="ja-JP"/>
              </w:rPr>
              <w:t xml:space="preserve"> </w:t>
            </w:r>
            <w:r w:rsidRPr="00413909">
              <w:rPr>
                <w:rFonts w:eastAsia="Times New Roman"/>
                <w:sz w:val="18"/>
                <w:szCs w:val="18"/>
                <w:lang w:eastAsia="ja-JP"/>
              </w:rPr>
              <w:t xml:space="preserve">(if included), </w:t>
            </w:r>
            <w:r w:rsidRPr="00413909">
              <w:rPr>
                <w:rFonts w:eastAsia="Times New Roman"/>
                <w:sz w:val="18"/>
                <w:szCs w:val="18"/>
                <w:highlight w:val="yellow"/>
                <w:lang w:eastAsia="ja-JP"/>
              </w:rPr>
              <w:t xml:space="preserve">only consisting of bands included in </w:t>
            </w:r>
            <w:proofErr w:type="spellStart"/>
            <w:r w:rsidRPr="00413909">
              <w:rPr>
                <w:rFonts w:eastAsia="Times New Roman"/>
                <w:i/>
                <w:sz w:val="18"/>
                <w:szCs w:val="18"/>
                <w:highlight w:val="yellow"/>
                <w:lang w:eastAsia="ja-JP"/>
              </w:rPr>
              <w:t>frequencyBandListFilter</w:t>
            </w:r>
            <w:proofErr w:type="spellEnd"/>
            <w:r w:rsidRPr="00413909">
              <w:rPr>
                <w:rFonts w:eastAsia="Times New Roman"/>
                <w:sz w:val="18"/>
                <w:szCs w:val="18"/>
                <w:highlight w:val="yellow"/>
                <w:lang w:eastAsia="ja-JP"/>
              </w:rPr>
              <w:t xml:space="preserve">, and prioritized in the order of </w:t>
            </w:r>
            <w:proofErr w:type="spellStart"/>
            <w:r w:rsidRPr="00413909">
              <w:rPr>
                <w:rFonts w:eastAsia="Times New Roman"/>
                <w:i/>
                <w:sz w:val="18"/>
                <w:szCs w:val="18"/>
                <w:highlight w:val="yellow"/>
                <w:lang w:eastAsia="ja-JP"/>
              </w:rPr>
              <w:t>frequencyBandListFilter</w:t>
            </w:r>
            <w:proofErr w:type="spellEnd"/>
            <w:r w:rsidRPr="00413909">
              <w:rPr>
                <w:rFonts w:eastAsia="Times New Roman"/>
                <w:sz w:val="18"/>
                <w:szCs w:val="18"/>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413909">
              <w:rPr>
                <w:rFonts w:eastAsia="Times New Roman"/>
                <w:i/>
                <w:sz w:val="18"/>
                <w:szCs w:val="18"/>
                <w:lang w:eastAsia="ja-JP"/>
              </w:rPr>
              <w:t>maxBandwidthRequestedDL</w:t>
            </w:r>
            <w:proofErr w:type="spellEnd"/>
            <w:r w:rsidRPr="00413909">
              <w:rPr>
                <w:rFonts w:eastAsia="Times New Roman"/>
                <w:sz w:val="18"/>
                <w:szCs w:val="18"/>
                <w:lang w:eastAsia="ja-JP"/>
              </w:rPr>
              <w:t xml:space="preserve">, </w:t>
            </w:r>
            <w:proofErr w:type="spellStart"/>
            <w:r w:rsidRPr="00413909">
              <w:rPr>
                <w:rFonts w:eastAsia="Times New Roman"/>
                <w:i/>
                <w:sz w:val="18"/>
                <w:szCs w:val="18"/>
                <w:lang w:eastAsia="ja-JP"/>
              </w:rPr>
              <w:t>maxBandwidthRequestedUL</w:t>
            </w:r>
            <w:proofErr w:type="spellEnd"/>
            <w:r w:rsidRPr="00413909">
              <w:rPr>
                <w:rFonts w:eastAsia="Times New Roman"/>
                <w:sz w:val="18"/>
                <w:szCs w:val="18"/>
                <w:lang w:eastAsia="ja-JP"/>
              </w:rPr>
              <w:t xml:space="preserve">, </w:t>
            </w:r>
            <w:proofErr w:type="spellStart"/>
            <w:r w:rsidRPr="00413909">
              <w:rPr>
                <w:rFonts w:eastAsia="Times New Roman"/>
                <w:i/>
                <w:sz w:val="18"/>
                <w:szCs w:val="18"/>
                <w:lang w:eastAsia="ja-JP"/>
              </w:rPr>
              <w:t>maxCarriersRequestedDL</w:t>
            </w:r>
            <w:proofErr w:type="spellEnd"/>
            <w:r w:rsidRPr="00413909">
              <w:rPr>
                <w:rFonts w:eastAsia="Times New Roman"/>
                <w:sz w:val="18"/>
                <w:szCs w:val="18"/>
                <w:lang w:eastAsia="ja-JP"/>
              </w:rPr>
              <w:t xml:space="preserve">, </w:t>
            </w:r>
            <w:proofErr w:type="spellStart"/>
            <w:r w:rsidRPr="00413909">
              <w:rPr>
                <w:rFonts w:eastAsia="Times New Roman"/>
                <w:i/>
                <w:sz w:val="18"/>
                <w:szCs w:val="18"/>
                <w:lang w:eastAsia="ja-JP"/>
              </w:rPr>
              <w:t>maxCarriersRequestedUL</w:t>
            </w:r>
            <w:proofErr w:type="spellEnd"/>
            <w:r w:rsidRPr="00413909">
              <w:rPr>
                <w:rFonts w:eastAsia="Times New Roman"/>
                <w:sz w:val="18"/>
                <w:szCs w:val="18"/>
                <w:lang w:eastAsia="ja-JP"/>
              </w:rPr>
              <w:t xml:space="preserve">, </w:t>
            </w:r>
            <w:r w:rsidRPr="00413909">
              <w:rPr>
                <w:rFonts w:eastAsia="Times New Roman"/>
                <w:i/>
                <w:sz w:val="18"/>
                <w:szCs w:val="18"/>
                <w:lang w:eastAsia="ja-JP"/>
              </w:rPr>
              <w:t>ca-</w:t>
            </w:r>
            <w:proofErr w:type="spellStart"/>
            <w:r w:rsidRPr="00413909">
              <w:rPr>
                <w:rFonts w:eastAsia="Times New Roman"/>
                <w:i/>
                <w:sz w:val="18"/>
                <w:szCs w:val="18"/>
                <w:lang w:eastAsia="ja-JP"/>
              </w:rPr>
              <w:t>BandwidthClassDL</w:t>
            </w:r>
            <w:proofErr w:type="spellEnd"/>
            <w:r w:rsidRPr="00413909">
              <w:rPr>
                <w:rFonts w:eastAsia="Times New Roman"/>
                <w:i/>
                <w:sz w:val="18"/>
                <w:szCs w:val="18"/>
                <w:lang w:eastAsia="ja-JP"/>
              </w:rPr>
              <w:t>-EUTRA</w:t>
            </w:r>
            <w:r w:rsidRPr="00413909">
              <w:rPr>
                <w:rFonts w:eastAsia="Times New Roman"/>
                <w:sz w:val="18"/>
                <w:szCs w:val="18"/>
                <w:lang w:eastAsia="ja-JP"/>
              </w:rPr>
              <w:t xml:space="preserve"> or </w:t>
            </w:r>
            <w:r w:rsidRPr="00413909">
              <w:rPr>
                <w:rFonts w:eastAsia="Times New Roman"/>
                <w:i/>
                <w:sz w:val="18"/>
                <w:szCs w:val="18"/>
                <w:lang w:eastAsia="ja-JP"/>
              </w:rPr>
              <w:t>ca-</w:t>
            </w:r>
            <w:proofErr w:type="spellStart"/>
            <w:r w:rsidRPr="00413909">
              <w:rPr>
                <w:rFonts w:eastAsia="Times New Roman"/>
                <w:i/>
                <w:sz w:val="18"/>
                <w:szCs w:val="18"/>
                <w:lang w:eastAsia="ja-JP"/>
              </w:rPr>
              <w:t>BandwidthClassUL</w:t>
            </w:r>
            <w:proofErr w:type="spellEnd"/>
            <w:r w:rsidRPr="00413909">
              <w:rPr>
                <w:rFonts w:eastAsia="Times New Roman"/>
                <w:i/>
                <w:sz w:val="18"/>
                <w:szCs w:val="18"/>
                <w:lang w:eastAsia="ja-JP"/>
              </w:rPr>
              <w:t>-EUTRA</w:t>
            </w:r>
            <w:r w:rsidRPr="00413909">
              <w:rPr>
                <w:rFonts w:eastAsia="Times New Roman"/>
                <w:sz w:val="18"/>
                <w:szCs w:val="18"/>
                <w:lang w:eastAsia="ja-JP"/>
              </w:rPr>
              <w:t>, whichever are received;</w:t>
            </w:r>
          </w:p>
          <w:p w14:paraId="6A55E56C" w14:textId="77777777" w:rsidR="00CB22C9" w:rsidRPr="00413909" w:rsidRDefault="00BC628E">
            <w:pPr>
              <w:spacing w:after="180"/>
              <w:ind w:left="568" w:hanging="284"/>
              <w:jc w:val="left"/>
              <w:textAlignment w:val="baseline"/>
              <w:rPr>
                <w:rFonts w:eastAsia="Times New Roman"/>
                <w:sz w:val="18"/>
                <w:szCs w:val="18"/>
                <w:lang w:eastAsia="ja-JP"/>
              </w:rPr>
            </w:pPr>
            <w:r w:rsidRPr="00413909">
              <w:rPr>
                <w:rFonts w:eastAsia="Times New Roman"/>
                <w:sz w:val="18"/>
                <w:szCs w:val="18"/>
                <w:lang w:eastAsia="ja-JP"/>
              </w:rPr>
              <w:t>1&gt;</w:t>
            </w:r>
            <w:r w:rsidRPr="00413909">
              <w:rPr>
                <w:rFonts w:eastAsia="Times New Roman"/>
                <w:sz w:val="18"/>
                <w:szCs w:val="18"/>
                <w:lang w:eastAsia="ja-JP"/>
              </w:rPr>
              <w:tab/>
              <w:t>for each band combination included in the list of "candidate band combinations":</w:t>
            </w:r>
          </w:p>
          <w:p w14:paraId="7C4F5AE3" w14:textId="77777777" w:rsidR="00CB22C9" w:rsidRPr="00413909" w:rsidRDefault="00BC628E">
            <w:pPr>
              <w:spacing w:after="180"/>
              <w:ind w:left="851" w:hanging="284"/>
              <w:jc w:val="left"/>
              <w:textAlignment w:val="baseline"/>
              <w:rPr>
                <w:rFonts w:eastAsia="Times New Roman"/>
                <w:sz w:val="18"/>
                <w:szCs w:val="18"/>
                <w:lang w:eastAsia="ja-JP"/>
              </w:rPr>
            </w:pPr>
            <w:r w:rsidRPr="00413909">
              <w:rPr>
                <w:rFonts w:eastAsia="Times New Roman"/>
                <w:sz w:val="18"/>
                <w:szCs w:val="18"/>
                <w:lang w:eastAsia="ja-JP"/>
              </w:rPr>
              <w:t>2&gt;</w:t>
            </w:r>
            <w:r w:rsidRPr="00413909">
              <w:rPr>
                <w:rFonts w:eastAsia="Times New Roman"/>
                <w:sz w:val="18"/>
                <w:szCs w:val="18"/>
                <w:lang w:eastAsia="ja-JP"/>
              </w:rPr>
              <w:tab/>
              <w:t xml:space="preserve">if the network (E-UTRA) included the </w:t>
            </w:r>
            <w:proofErr w:type="spellStart"/>
            <w:r w:rsidRPr="00413909">
              <w:rPr>
                <w:rFonts w:eastAsia="Times New Roman"/>
                <w:i/>
                <w:sz w:val="18"/>
                <w:szCs w:val="18"/>
                <w:lang w:eastAsia="ja-JP"/>
              </w:rPr>
              <w:t>eutra</w:t>
            </w:r>
            <w:proofErr w:type="spellEnd"/>
            <w:r w:rsidRPr="00413909">
              <w:rPr>
                <w:rFonts w:eastAsia="Times New Roman"/>
                <w:i/>
                <w:sz w:val="18"/>
                <w:szCs w:val="18"/>
                <w:lang w:eastAsia="ja-JP"/>
              </w:rPr>
              <w:t>-nr-only</w:t>
            </w:r>
            <w:r w:rsidRPr="00413909">
              <w:rPr>
                <w:rFonts w:eastAsia="Times New Roman"/>
                <w:sz w:val="18"/>
                <w:szCs w:val="18"/>
                <w:lang w:eastAsia="ja-JP"/>
              </w:rPr>
              <w:t xml:space="preserve"> field, or</w:t>
            </w:r>
          </w:p>
          <w:p w14:paraId="0B5EC3EF" w14:textId="77777777" w:rsidR="00CB22C9" w:rsidRPr="00413909" w:rsidRDefault="00BC628E">
            <w:pPr>
              <w:spacing w:after="180"/>
              <w:ind w:left="851" w:hanging="284"/>
              <w:jc w:val="left"/>
              <w:textAlignment w:val="baseline"/>
              <w:rPr>
                <w:rFonts w:eastAsia="Times New Roman"/>
                <w:sz w:val="18"/>
                <w:szCs w:val="18"/>
                <w:lang w:eastAsia="ja-JP"/>
              </w:rPr>
            </w:pPr>
            <w:r w:rsidRPr="00413909">
              <w:rPr>
                <w:rFonts w:eastAsia="Times New Roman"/>
                <w:sz w:val="18"/>
                <w:szCs w:val="18"/>
                <w:lang w:eastAsia="ja-JP"/>
              </w:rPr>
              <w:t>2&gt;</w:t>
            </w:r>
            <w:r w:rsidRPr="00413909">
              <w:rPr>
                <w:rFonts w:eastAsia="Times New Roman"/>
                <w:sz w:val="18"/>
                <w:szCs w:val="18"/>
                <w:lang w:eastAsia="ja-JP"/>
              </w:rPr>
              <w:tab/>
              <w:t xml:space="preserve">if the requested </w:t>
            </w:r>
            <w:r w:rsidRPr="00413909">
              <w:rPr>
                <w:rFonts w:eastAsia="Times New Roman"/>
                <w:i/>
                <w:sz w:val="18"/>
                <w:szCs w:val="18"/>
                <w:lang w:eastAsia="ja-JP"/>
              </w:rPr>
              <w:t>rat-Type</w:t>
            </w:r>
            <w:r w:rsidRPr="00413909">
              <w:rPr>
                <w:rFonts w:eastAsia="Times New Roman"/>
                <w:sz w:val="18"/>
                <w:szCs w:val="18"/>
                <w:lang w:eastAsia="ja-JP"/>
              </w:rPr>
              <w:t xml:space="preserve"> is </w:t>
            </w:r>
            <w:proofErr w:type="spellStart"/>
            <w:r w:rsidRPr="00413909">
              <w:rPr>
                <w:rFonts w:eastAsia="Times New Roman"/>
                <w:i/>
                <w:sz w:val="18"/>
                <w:szCs w:val="18"/>
                <w:lang w:eastAsia="ja-JP"/>
              </w:rPr>
              <w:t>eutra</w:t>
            </w:r>
            <w:proofErr w:type="spellEnd"/>
            <w:r w:rsidRPr="00413909">
              <w:rPr>
                <w:rFonts w:eastAsia="Times New Roman"/>
                <w:sz w:val="18"/>
                <w:szCs w:val="18"/>
                <w:lang w:eastAsia="ja-JP"/>
              </w:rPr>
              <w:t>:</w:t>
            </w:r>
          </w:p>
          <w:p w14:paraId="4D8F58E7" w14:textId="77777777" w:rsidR="00CB22C9" w:rsidRDefault="00BC628E">
            <w:pPr>
              <w:spacing w:after="180"/>
              <w:ind w:left="1135" w:hanging="284"/>
              <w:jc w:val="left"/>
              <w:textAlignment w:val="baseline"/>
              <w:rPr>
                <w:rFonts w:eastAsia="Yu Mincho"/>
                <w:lang w:eastAsia="ja-JP"/>
              </w:rPr>
            </w:pPr>
            <w:r w:rsidRPr="00413909">
              <w:rPr>
                <w:rFonts w:eastAsia="Times New Roman"/>
                <w:sz w:val="18"/>
                <w:szCs w:val="18"/>
                <w:lang w:eastAsia="ja-JP"/>
              </w:rPr>
              <w:t>3&gt;</w:t>
            </w:r>
            <w:r w:rsidRPr="00413909">
              <w:rPr>
                <w:rFonts w:eastAsia="Times New Roman"/>
                <w:sz w:val="18"/>
                <w:szCs w:val="18"/>
                <w:lang w:eastAsia="ja-JP"/>
              </w:rPr>
              <w:tab/>
              <w:t>remove the NR-only band combination from the list of "candidate band combinations";</w:t>
            </w:r>
          </w:p>
        </w:tc>
      </w:tr>
    </w:tbl>
    <w:p w14:paraId="6870D8D4" w14:textId="77777777" w:rsidR="00CB22C9" w:rsidRDefault="00CB22C9"/>
    <w:p w14:paraId="4C3B259D" w14:textId="628FAC35" w:rsidR="00CB22C9" w:rsidRDefault="00BC628E">
      <w:r>
        <w:t xml:space="preserve">That means, </w:t>
      </w:r>
      <w:r w:rsidR="00207781">
        <w:t xml:space="preserve">according to current specs, </w:t>
      </w:r>
      <w:r w:rsidR="00207781">
        <w:rPr>
          <w:rFonts w:hint="eastAsia"/>
        </w:rPr>
        <w:t>the</w:t>
      </w:r>
      <w:r w:rsidR="00207781">
        <w:t xml:space="preserve"> UE cannot indicate support of non-serving cell broadcast reception for a FSPC </w:t>
      </w:r>
      <w:r w:rsidR="004A410E">
        <w:t>of</w:t>
      </w:r>
      <w:r w:rsidR="00207781">
        <w:t xml:space="preserve"> the band belonging to inter-PLMN</w:t>
      </w:r>
      <w:r w:rsidR="002D20AE">
        <w:t xml:space="preserve"> when the band is outside of the band filter</w:t>
      </w:r>
      <w:r w:rsidR="00207781">
        <w:t>. T</w:t>
      </w:r>
      <w:r>
        <w:t xml:space="preserve">o enable the UE to report the FSPC supporting broadcast reception in non-serving cell, the gNB needs to include the concerned band of inter-PLMN in the band filter. However, once the NW include the concerned band for inter-PLMN broadcast reception in the band filters in the </w:t>
      </w:r>
      <w:proofErr w:type="spellStart"/>
      <w:r>
        <w:t>capablity</w:t>
      </w:r>
      <w:proofErr w:type="spellEnd"/>
      <w:r>
        <w:t xml:space="preserve"> enquiry, the UE has to report UE capabilities related to both unicast and broadcast for the band since the UE doesn’t know whether the NW is only interested in broadcast related capabilities for the band. The issue is unicast related capabilities are much more complicated than the broadcast-only capabilities, especially considering these capabilities are needed to be combined with other capabilities related to other PLMNs in a band combination. Therefore, the UE may report lots of BCs/</w:t>
      </w:r>
      <w:proofErr w:type="spellStart"/>
      <w:r>
        <w:t>FeatureSets</w:t>
      </w:r>
      <w:proofErr w:type="spellEnd"/>
      <w:r>
        <w:t xml:space="preserve"> related to the unicast capabilities of the inter-PLMN bands, which are not useful to the network but will increase the capability size significantly. </w:t>
      </w:r>
    </w:p>
    <w:p w14:paraId="2F6479D3" w14:textId="59DA122E" w:rsidR="00CB22C9" w:rsidRDefault="00BC628E">
      <w:r>
        <w:rPr>
          <w:rFonts w:hint="eastAsia"/>
          <w:b/>
        </w:rPr>
        <w:t>O</w:t>
      </w:r>
      <w:r>
        <w:rPr>
          <w:b/>
        </w:rPr>
        <w:t xml:space="preserve">bservation </w:t>
      </w:r>
      <w:r w:rsidR="00080F3D">
        <w:rPr>
          <w:b/>
        </w:rPr>
        <w:t>2</w:t>
      </w:r>
      <w:r>
        <w:rPr>
          <w:b/>
        </w:rPr>
        <w:t>: T</w:t>
      </w:r>
      <w:r>
        <w:rPr>
          <w:rFonts w:hint="eastAsia"/>
          <w:b/>
        </w:rPr>
        <w:t>o enable the UE to report the FSPC supporting broadcast reception in non-serving cell, the gNB needs to include the concerned band</w:t>
      </w:r>
      <w:r>
        <w:rPr>
          <w:b/>
        </w:rPr>
        <w:t>s</w:t>
      </w:r>
      <w:r>
        <w:rPr>
          <w:rFonts w:hint="eastAsia"/>
          <w:b/>
        </w:rPr>
        <w:t xml:space="preserve"> of inter-PLMN in the band filter</w:t>
      </w:r>
      <w:r>
        <w:rPr>
          <w:b/>
        </w:rPr>
        <w:t>. In this case, the UE may also report lots of BCs/</w:t>
      </w:r>
      <w:proofErr w:type="spellStart"/>
      <w:r>
        <w:rPr>
          <w:b/>
        </w:rPr>
        <w:t>FeatureSets</w:t>
      </w:r>
      <w:proofErr w:type="spellEnd"/>
      <w:r>
        <w:rPr>
          <w:b/>
        </w:rPr>
        <w:t xml:space="preserve"> related to the unicast capabilities of inter-PLMN bands, which will unnecessarily increase the capability size.</w:t>
      </w:r>
      <w:r>
        <w:t xml:space="preserve"> </w:t>
      </w:r>
    </w:p>
    <w:p w14:paraId="3CA24E36" w14:textId="2587EAE6" w:rsidR="00CB22C9" w:rsidRDefault="00BC628E">
      <w:r>
        <w:t>To address this issue above, the NW needs to indicate the UE, in capability enquiry message, which bands are only requested for non-serving cell broadcast capabilities. In this case, the irrelevant inter-PLMN unicast capabilities can be avoided.</w:t>
      </w:r>
    </w:p>
    <w:p w14:paraId="399F3271" w14:textId="544A4A32" w:rsidR="00CB22C9" w:rsidRDefault="00BC628E">
      <w:pPr>
        <w:rPr>
          <w:b/>
        </w:rPr>
      </w:pPr>
      <w:r>
        <w:rPr>
          <w:b/>
        </w:rPr>
        <w:t xml:space="preserve">Proposal </w:t>
      </w:r>
      <w:r w:rsidR="0067198F">
        <w:rPr>
          <w:b/>
        </w:rPr>
        <w:t>2</w:t>
      </w:r>
      <w:r>
        <w:rPr>
          <w:b/>
        </w:rPr>
        <w:t xml:space="preserve">: The </w:t>
      </w:r>
      <w:proofErr w:type="spellStart"/>
      <w:r>
        <w:rPr>
          <w:b/>
        </w:rPr>
        <w:t>gNB</w:t>
      </w:r>
      <w:proofErr w:type="spellEnd"/>
      <w:r>
        <w:rPr>
          <w:b/>
        </w:rPr>
        <w:t xml:space="preserve"> should indicate the UE in case some bands in the band filter are only requested for MBS reception from non-serving cell in UE capability enquiry procedure. </w:t>
      </w:r>
    </w:p>
    <w:p w14:paraId="2B5ED97E" w14:textId="77777777" w:rsidR="00CB22C9" w:rsidRDefault="00BC628E">
      <w:pPr>
        <w:pStyle w:val="1"/>
        <w:rPr>
          <w:rFonts w:eastAsia="Malgun Gothic"/>
        </w:rPr>
      </w:pPr>
      <w:r>
        <w:rPr>
          <w:rFonts w:eastAsia="Malgun Gothic"/>
        </w:rPr>
        <w:t>Conclusion</w:t>
      </w:r>
    </w:p>
    <w:p w14:paraId="21915CF5" w14:textId="659819A1" w:rsidR="00CB22C9" w:rsidRDefault="00BC628E">
      <w:pPr>
        <w:pStyle w:val="a6"/>
      </w:pPr>
      <w:r>
        <w:t>In this contribution, we provide the following observations and proposals:</w:t>
      </w:r>
    </w:p>
    <w:p w14:paraId="171C2F1A" w14:textId="341802CB" w:rsidR="0067198F" w:rsidRPr="0067198F" w:rsidRDefault="0067198F">
      <w:pPr>
        <w:pStyle w:val="a6"/>
        <w:rPr>
          <w:rFonts w:eastAsiaTheme="minorEastAsia"/>
          <w:u w:val="single"/>
        </w:rPr>
      </w:pPr>
      <w:r w:rsidRPr="0067198F">
        <w:rPr>
          <w:rFonts w:eastAsiaTheme="minorEastAsia"/>
          <w:u w:val="single"/>
        </w:rPr>
        <w:t xml:space="preserve">Additional </w:t>
      </w:r>
      <w:r>
        <w:rPr>
          <w:rFonts w:eastAsiaTheme="minorEastAsia"/>
          <w:u w:val="single"/>
        </w:rPr>
        <w:t xml:space="preserve">information </w:t>
      </w:r>
      <w:r w:rsidRPr="0067198F">
        <w:rPr>
          <w:rFonts w:eastAsiaTheme="minorEastAsia"/>
          <w:u w:val="single"/>
        </w:rPr>
        <w:t>report</w:t>
      </w:r>
      <w:r w:rsidR="00080F3D">
        <w:rPr>
          <w:rFonts w:eastAsiaTheme="minorEastAsia"/>
          <w:u w:val="single"/>
        </w:rPr>
        <w:t>ed</w:t>
      </w:r>
      <w:r>
        <w:rPr>
          <w:rFonts w:eastAsiaTheme="minorEastAsia"/>
          <w:u w:val="single"/>
        </w:rPr>
        <w:t xml:space="preserve"> in MII:</w:t>
      </w:r>
    </w:p>
    <w:p w14:paraId="5369D44F" w14:textId="77777777" w:rsidR="009C1AF4" w:rsidRDefault="009C1AF4" w:rsidP="009C1AF4">
      <w:pPr>
        <w:rPr>
          <w:b/>
        </w:rPr>
      </w:pPr>
      <w:r>
        <w:rPr>
          <w:rFonts w:hint="eastAsia"/>
          <w:b/>
        </w:rPr>
        <w:lastRenderedPageBreak/>
        <w:t>O</w:t>
      </w:r>
      <w:r>
        <w:rPr>
          <w:b/>
        </w:rPr>
        <w:t>bservation 1: The serving gNB determines which FSPC can be used for broadcast reception of non-serving cell according to the MII.</w:t>
      </w:r>
    </w:p>
    <w:p w14:paraId="1AD240C4" w14:textId="0444B0FB" w:rsidR="0067198F" w:rsidRPr="0036156F" w:rsidRDefault="00080F3D" w:rsidP="0067198F">
      <w:pPr>
        <w:rPr>
          <w:b/>
        </w:rPr>
      </w:pPr>
      <w:r w:rsidRPr="0067198F">
        <w:rPr>
          <w:b/>
        </w:rPr>
        <w:t xml:space="preserve">Proposal 1: </w:t>
      </w:r>
      <w:r>
        <w:rPr>
          <w:b/>
        </w:rPr>
        <w:t>RAN2 confirms that SCS and CFR information should be reported together when both are available.</w:t>
      </w:r>
      <w:r w:rsidR="0067198F" w:rsidRPr="0036156F">
        <w:rPr>
          <w:b/>
        </w:rPr>
        <w:t xml:space="preserve"> </w:t>
      </w:r>
    </w:p>
    <w:p w14:paraId="44B11DDE" w14:textId="305DCD3E" w:rsidR="0067198F" w:rsidRPr="00F20E5B" w:rsidRDefault="0067198F" w:rsidP="009C1AF4">
      <w:pPr>
        <w:rPr>
          <w:u w:val="single"/>
        </w:rPr>
      </w:pPr>
      <w:r w:rsidRPr="00F20E5B">
        <w:rPr>
          <w:u w:val="single"/>
        </w:rPr>
        <w:t>Band filter</w:t>
      </w:r>
      <w:r>
        <w:rPr>
          <w:u w:val="single"/>
        </w:rPr>
        <w:t xml:space="preserve"> for MBS capability enquiry</w:t>
      </w:r>
    </w:p>
    <w:p w14:paraId="1E02C21A" w14:textId="5BE3F9C9" w:rsidR="009C1AF4" w:rsidRDefault="009C1AF4" w:rsidP="009C1AF4">
      <w:r>
        <w:rPr>
          <w:rFonts w:hint="eastAsia"/>
          <w:b/>
        </w:rPr>
        <w:t>O</w:t>
      </w:r>
      <w:r>
        <w:rPr>
          <w:b/>
        </w:rPr>
        <w:t xml:space="preserve">bservation </w:t>
      </w:r>
      <w:r w:rsidR="00080F3D">
        <w:rPr>
          <w:b/>
        </w:rPr>
        <w:t>2</w:t>
      </w:r>
      <w:r>
        <w:rPr>
          <w:b/>
        </w:rPr>
        <w:t>: T</w:t>
      </w:r>
      <w:r>
        <w:rPr>
          <w:rFonts w:hint="eastAsia"/>
          <w:b/>
        </w:rPr>
        <w:t>o enable the UE to report the FSPC supporting broadcast reception in non-serving cell, the gNB needs to include the concerned band</w:t>
      </w:r>
      <w:r>
        <w:rPr>
          <w:b/>
        </w:rPr>
        <w:t>s</w:t>
      </w:r>
      <w:r>
        <w:rPr>
          <w:rFonts w:hint="eastAsia"/>
          <w:b/>
        </w:rPr>
        <w:t xml:space="preserve"> of inter-PLMN in the band filter</w:t>
      </w:r>
      <w:r>
        <w:rPr>
          <w:b/>
        </w:rPr>
        <w:t>. In this case, the UE may also report lots of BCs/</w:t>
      </w:r>
      <w:proofErr w:type="spellStart"/>
      <w:r>
        <w:rPr>
          <w:b/>
        </w:rPr>
        <w:t>FeatureSets</w:t>
      </w:r>
      <w:proofErr w:type="spellEnd"/>
      <w:r>
        <w:rPr>
          <w:b/>
        </w:rPr>
        <w:t xml:space="preserve"> related to the unicast capabilities of inter-PLMN bands, which will unnecessarily increase the capability size.</w:t>
      </w:r>
      <w:r>
        <w:t xml:space="preserve"> </w:t>
      </w:r>
    </w:p>
    <w:p w14:paraId="6ADD2C65" w14:textId="514006B1" w:rsidR="009C1AF4" w:rsidRDefault="009C1AF4" w:rsidP="009C1AF4">
      <w:pPr>
        <w:rPr>
          <w:b/>
        </w:rPr>
      </w:pPr>
      <w:r>
        <w:rPr>
          <w:b/>
        </w:rPr>
        <w:t xml:space="preserve">Proposal </w:t>
      </w:r>
      <w:r w:rsidR="0067198F">
        <w:rPr>
          <w:b/>
        </w:rPr>
        <w:t>2</w:t>
      </w:r>
      <w:r>
        <w:rPr>
          <w:b/>
        </w:rPr>
        <w:t xml:space="preserve">: The </w:t>
      </w:r>
      <w:proofErr w:type="spellStart"/>
      <w:r>
        <w:rPr>
          <w:b/>
        </w:rPr>
        <w:t>gNB</w:t>
      </w:r>
      <w:proofErr w:type="spellEnd"/>
      <w:r>
        <w:rPr>
          <w:b/>
        </w:rPr>
        <w:t xml:space="preserve"> should indicate the UE in case some bands in the band filter are only requested for MBS reception from non-serving cell in UE capability enquiry procedure. </w:t>
      </w:r>
    </w:p>
    <w:p w14:paraId="15EA3D03" w14:textId="77777777" w:rsidR="00CB22C9" w:rsidRDefault="00BC628E">
      <w:pPr>
        <w:pStyle w:val="1"/>
        <w:rPr>
          <w:rFonts w:eastAsia="Malgun Gothic"/>
        </w:rPr>
      </w:pPr>
      <w:r>
        <w:rPr>
          <w:rFonts w:eastAsia="Malgun Gothic"/>
        </w:rPr>
        <w:t>References</w:t>
      </w:r>
    </w:p>
    <w:p w14:paraId="5633478C" w14:textId="77777777" w:rsidR="00CB22C9" w:rsidRDefault="00BC628E">
      <w:r>
        <w:t>[1] RAN2#123-bis chairman’s note.</w:t>
      </w:r>
    </w:p>
    <w:sectPr w:rsidR="00CB22C9">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3EF9D" w14:textId="77777777" w:rsidR="00A82578" w:rsidRDefault="00A82578" w:rsidP="009C1AF4">
      <w:pPr>
        <w:spacing w:after="0"/>
      </w:pPr>
      <w:r>
        <w:separator/>
      </w:r>
    </w:p>
  </w:endnote>
  <w:endnote w:type="continuationSeparator" w:id="0">
    <w:p w14:paraId="79706555" w14:textId="77777777" w:rsidR="00A82578" w:rsidRDefault="00A82578" w:rsidP="009C1A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7045B" w14:textId="77777777" w:rsidR="00A82578" w:rsidRDefault="00A82578" w:rsidP="009C1AF4">
      <w:pPr>
        <w:spacing w:after="0"/>
      </w:pPr>
      <w:r>
        <w:separator/>
      </w:r>
    </w:p>
  </w:footnote>
  <w:footnote w:type="continuationSeparator" w:id="0">
    <w:p w14:paraId="3865F6A4" w14:textId="77777777" w:rsidR="00A82578" w:rsidRDefault="00A82578" w:rsidP="009C1A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lang w:val="en-US"/>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8FBF9912"/>
    <w:rsid w:val="959CCB2D"/>
    <w:rsid w:val="9BF62D04"/>
    <w:rsid w:val="B1E5E981"/>
    <w:rsid w:val="B5371345"/>
    <w:rsid w:val="BCE526A6"/>
    <w:rsid w:val="BFDD1106"/>
    <w:rsid w:val="CCF77372"/>
    <w:rsid w:val="CF6BAFFB"/>
    <w:rsid w:val="D5FD4409"/>
    <w:rsid w:val="D73B04AF"/>
    <w:rsid w:val="DBFD597E"/>
    <w:rsid w:val="DCEB0B87"/>
    <w:rsid w:val="DF1D1F9D"/>
    <w:rsid w:val="DFF71265"/>
    <w:rsid w:val="EDFE377D"/>
    <w:rsid w:val="EF8B4D85"/>
    <w:rsid w:val="EFBE6053"/>
    <w:rsid w:val="F56D5265"/>
    <w:rsid w:val="F6BDF918"/>
    <w:rsid w:val="F75BC6B6"/>
    <w:rsid w:val="F7BF0C28"/>
    <w:rsid w:val="F9FF0305"/>
    <w:rsid w:val="FAB714D8"/>
    <w:rsid w:val="FF14E94A"/>
    <w:rsid w:val="FF3F789E"/>
    <w:rsid w:val="FFFEF92F"/>
    <w:rsid w:val="00001195"/>
    <w:rsid w:val="00003982"/>
    <w:rsid w:val="00004D31"/>
    <w:rsid w:val="0000500F"/>
    <w:rsid w:val="00006CFC"/>
    <w:rsid w:val="00007F8B"/>
    <w:rsid w:val="00012B7D"/>
    <w:rsid w:val="00013F9F"/>
    <w:rsid w:val="0002556D"/>
    <w:rsid w:val="00026549"/>
    <w:rsid w:val="00026790"/>
    <w:rsid w:val="000272C0"/>
    <w:rsid w:val="0002783C"/>
    <w:rsid w:val="00027A38"/>
    <w:rsid w:val="000321F3"/>
    <w:rsid w:val="000325A9"/>
    <w:rsid w:val="000363CC"/>
    <w:rsid w:val="00036520"/>
    <w:rsid w:val="000369A7"/>
    <w:rsid w:val="0004047A"/>
    <w:rsid w:val="00041DB9"/>
    <w:rsid w:val="000449D8"/>
    <w:rsid w:val="00045CC4"/>
    <w:rsid w:val="00046906"/>
    <w:rsid w:val="000470D1"/>
    <w:rsid w:val="00052E72"/>
    <w:rsid w:val="00053048"/>
    <w:rsid w:val="000555E4"/>
    <w:rsid w:val="000556B6"/>
    <w:rsid w:val="00056BFC"/>
    <w:rsid w:val="0006138F"/>
    <w:rsid w:val="000701A7"/>
    <w:rsid w:val="000717D6"/>
    <w:rsid w:val="00072099"/>
    <w:rsid w:val="00080F3D"/>
    <w:rsid w:val="00081B22"/>
    <w:rsid w:val="00083FCE"/>
    <w:rsid w:val="00091235"/>
    <w:rsid w:val="000942D7"/>
    <w:rsid w:val="000967F0"/>
    <w:rsid w:val="000A399E"/>
    <w:rsid w:val="000A4435"/>
    <w:rsid w:val="000A4594"/>
    <w:rsid w:val="000B1DB1"/>
    <w:rsid w:val="000C32ED"/>
    <w:rsid w:val="000D2989"/>
    <w:rsid w:val="000D2DFD"/>
    <w:rsid w:val="000D4E48"/>
    <w:rsid w:val="000D52BD"/>
    <w:rsid w:val="000D7820"/>
    <w:rsid w:val="000E1C56"/>
    <w:rsid w:val="000E4ACE"/>
    <w:rsid w:val="000E6361"/>
    <w:rsid w:val="000E6485"/>
    <w:rsid w:val="000F1159"/>
    <w:rsid w:val="000F13EC"/>
    <w:rsid w:val="000F6961"/>
    <w:rsid w:val="00100DEA"/>
    <w:rsid w:val="00102130"/>
    <w:rsid w:val="00102594"/>
    <w:rsid w:val="00104C22"/>
    <w:rsid w:val="00104DA6"/>
    <w:rsid w:val="001057CC"/>
    <w:rsid w:val="00110A47"/>
    <w:rsid w:val="001148F9"/>
    <w:rsid w:val="0011611A"/>
    <w:rsid w:val="001216EB"/>
    <w:rsid w:val="00123340"/>
    <w:rsid w:val="0012374B"/>
    <w:rsid w:val="00124864"/>
    <w:rsid w:val="00125782"/>
    <w:rsid w:val="00126FB0"/>
    <w:rsid w:val="00132EFF"/>
    <w:rsid w:val="00133266"/>
    <w:rsid w:val="001347BB"/>
    <w:rsid w:val="00136511"/>
    <w:rsid w:val="00136A26"/>
    <w:rsid w:val="001405B1"/>
    <w:rsid w:val="00144CDB"/>
    <w:rsid w:val="0014567B"/>
    <w:rsid w:val="00146CE0"/>
    <w:rsid w:val="00150962"/>
    <w:rsid w:val="00156C66"/>
    <w:rsid w:val="0016219F"/>
    <w:rsid w:val="001629E6"/>
    <w:rsid w:val="0016376A"/>
    <w:rsid w:val="00166918"/>
    <w:rsid w:val="00167D75"/>
    <w:rsid w:val="00171DC6"/>
    <w:rsid w:val="0017544E"/>
    <w:rsid w:val="00176930"/>
    <w:rsid w:val="00180D3D"/>
    <w:rsid w:val="001826D0"/>
    <w:rsid w:val="00183E54"/>
    <w:rsid w:val="00185FFE"/>
    <w:rsid w:val="00187C44"/>
    <w:rsid w:val="00190E6E"/>
    <w:rsid w:val="00192316"/>
    <w:rsid w:val="00193050"/>
    <w:rsid w:val="0019776D"/>
    <w:rsid w:val="001A0433"/>
    <w:rsid w:val="001A2425"/>
    <w:rsid w:val="001A242D"/>
    <w:rsid w:val="001B5DF8"/>
    <w:rsid w:val="001B740C"/>
    <w:rsid w:val="001C0C92"/>
    <w:rsid w:val="001C5B49"/>
    <w:rsid w:val="001D7B4D"/>
    <w:rsid w:val="001E20B1"/>
    <w:rsid w:val="001E6DA7"/>
    <w:rsid w:val="001E787D"/>
    <w:rsid w:val="001E7E8B"/>
    <w:rsid w:val="001F6BE3"/>
    <w:rsid w:val="001F7FE7"/>
    <w:rsid w:val="00204B1B"/>
    <w:rsid w:val="002057CA"/>
    <w:rsid w:val="00205C5F"/>
    <w:rsid w:val="002075D4"/>
    <w:rsid w:val="00207781"/>
    <w:rsid w:val="0021754B"/>
    <w:rsid w:val="00221DB9"/>
    <w:rsid w:val="00222933"/>
    <w:rsid w:val="00223488"/>
    <w:rsid w:val="00227265"/>
    <w:rsid w:val="00227A83"/>
    <w:rsid w:val="002303CB"/>
    <w:rsid w:val="00231DE7"/>
    <w:rsid w:val="00240FF8"/>
    <w:rsid w:val="002433BB"/>
    <w:rsid w:val="00245905"/>
    <w:rsid w:val="00247E48"/>
    <w:rsid w:val="00250756"/>
    <w:rsid w:val="00250CAA"/>
    <w:rsid w:val="00254343"/>
    <w:rsid w:val="00257035"/>
    <w:rsid w:val="0026092A"/>
    <w:rsid w:val="00262BD5"/>
    <w:rsid w:val="00264160"/>
    <w:rsid w:val="00267128"/>
    <w:rsid w:val="002674AF"/>
    <w:rsid w:val="002733FE"/>
    <w:rsid w:val="0027463C"/>
    <w:rsid w:val="00280CD1"/>
    <w:rsid w:val="00293FBF"/>
    <w:rsid w:val="002A57BC"/>
    <w:rsid w:val="002A7EB8"/>
    <w:rsid w:val="002B10A7"/>
    <w:rsid w:val="002B4B5B"/>
    <w:rsid w:val="002C00EF"/>
    <w:rsid w:val="002C311C"/>
    <w:rsid w:val="002D02AE"/>
    <w:rsid w:val="002D20AE"/>
    <w:rsid w:val="002D3D77"/>
    <w:rsid w:val="002D4C48"/>
    <w:rsid w:val="002D5539"/>
    <w:rsid w:val="002E0BD5"/>
    <w:rsid w:val="002E11E3"/>
    <w:rsid w:val="002E1C17"/>
    <w:rsid w:val="002E1D1E"/>
    <w:rsid w:val="002F0CC4"/>
    <w:rsid w:val="002F1490"/>
    <w:rsid w:val="002F1A00"/>
    <w:rsid w:val="002F58B2"/>
    <w:rsid w:val="002F5C5B"/>
    <w:rsid w:val="002F682F"/>
    <w:rsid w:val="002F6BE3"/>
    <w:rsid w:val="0030119C"/>
    <w:rsid w:val="00305325"/>
    <w:rsid w:val="00305B00"/>
    <w:rsid w:val="00305E17"/>
    <w:rsid w:val="00312AD1"/>
    <w:rsid w:val="00317288"/>
    <w:rsid w:val="00321813"/>
    <w:rsid w:val="003239F6"/>
    <w:rsid w:val="00327184"/>
    <w:rsid w:val="00327502"/>
    <w:rsid w:val="003301A0"/>
    <w:rsid w:val="00334481"/>
    <w:rsid w:val="00334FBA"/>
    <w:rsid w:val="0033561D"/>
    <w:rsid w:val="00337844"/>
    <w:rsid w:val="00341005"/>
    <w:rsid w:val="00341F7A"/>
    <w:rsid w:val="00347FCC"/>
    <w:rsid w:val="00360BBA"/>
    <w:rsid w:val="003611A0"/>
    <w:rsid w:val="0036214B"/>
    <w:rsid w:val="00363DA4"/>
    <w:rsid w:val="003666C4"/>
    <w:rsid w:val="003726E7"/>
    <w:rsid w:val="00372A60"/>
    <w:rsid w:val="00373BA7"/>
    <w:rsid w:val="0037579A"/>
    <w:rsid w:val="003808DE"/>
    <w:rsid w:val="00380ED0"/>
    <w:rsid w:val="00381E4A"/>
    <w:rsid w:val="003832F2"/>
    <w:rsid w:val="0038545E"/>
    <w:rsid w:val="0038604D"/>
    <w:rsid w:val="00386813"/>
    <w:rsid w:val="00386CDA"/>
    <w:rsid w:val="00387566"/>
    <w:rsid w:val="00387AC5"/>
    <w:rsid w:val="00390689"/>
    <w:rsid w:val="00391D19"/>
    <w:rsid w:val="003931E1"/>
    <w:rsid w:val="00395A31"/>
    <w:rsid w:val="00397317"/>
    <w:rsid w:val="003A1AC7"/>
    <w:rsid w:val="003A284B"/>
    <w:rsid w:val="003B243E"/>
    <w:rsid w:val="003B4626"/>
    <w:rsid w:val="003B47F9"/>
    <w:rsid w:val="003C0902"/>
    <w:rsid w:val="003C2A89"/>
    <w:rsid w:val="003C30A1"/>
    <w:rsid w:val="003D0552"/>
    <w:rsid w:val="003D1040"/>
    <w:rsid w:val="003D1D3B"/>
    <w:rsid w:val="003D3350"/>
    <w:rsid w:val="003D57F1"/>
    <w:rsid w:val="003E3040"/>
    <w:rsid w:val="003E51A4"/>
    <w:rsid w:val="003E538B"/>
    <w:rsid w:val="003E7EDB"/>
    <w:rsid w:val="003F19BA"/>
    <w:rsid w:val="003F2ED0"/>
    <w:rsid w:val="003F36DC"/>
    <w:rsid w:val="003F3CED"/>
    <w:rsid w:val="00401397"/>
    <w:rsid w:val="00404494"/>
    <w:rsid w:val="00406DB7"/>
    <w:rsid w:val="004120DC"/>
    <w:rsid w:val="00413909"/>
    <w:rsid w:val="00415529"/>
    <w:rsid w:val="00417F94"/>
    <w:rsid w:val="00421FBF"/>
    <w:rsid w:val="00422F26"/>
    <w:rsid w:val="00431C82"/>
    <w:rsid w:val="004333C6"/>
    <w:rsid w:val="0043558C"/>
    <w:rsid w:val="00437191"/>
    <w:rsid w:val="00447BCE"/>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3336"/>
    <w:rsid w:val="0049409E"/>
    <w:rsid w:val="004A04AD"/>
    <w:rsid w:val="004A410E"/>
    <w:rsid w:val="004A5DFC"/>
    <w:rsid w:val="004A79F0"/>
    <w:rsid w:val="004B03AD"/>
    <w:rsid w:val="004B085A"/>
    <w:rsid w:val="004C0D59"/>
    <w:rsid w:val="004C3841"/>
    <w:rsid w:val="004C3E53"/>
    <w:rsid w:val="004D1572"/>
    <w:rsid w:val="004D2483"/>
    <w:rsid w:val="004D625E"/>
    <w:rsid w:val="004D631D"/>
    <w:rsid w:val="004D6D90"/>
    <w:rsid w:val="004E00F5"/>
    <w:rsid w:val="004E18CB"/>
    <w:rsid w:val="004E2BB0"/>
    <w:rsid w:val="004E4008"/>
    <w:rsid w:val="004E6DBA"/>
    <w:rsid w:val="004E794E"/>
    <w:rsid w:val="004F1307"/>
    <w:rsid w:val="004F17AB"/>
    <w:rsid w:val="004F2B99"/>
    <w:rsid w:val="004F3BD9"/>
    <w:rsid w:val="004F428F"/>
    <w:rsid w:val="004F6CD9"/>
    <w:rsid w:val="00500BA1"/>
    <w:rsid w:val="00501DBE"/>
    <w:rsid w:val="0050394C"/>
    <w:rsid w:val="005108F9"/>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4718C"/>
    <w:rsid w:val="00547251"/>
    <w:rsid w:val="00550A82"/>
    <w:rsid w:val="00551015"/>
    <w:rsid w:val="00551598"/>
    <w:rsid w:val="00555944"/>
    <w:rsid w:val="00560264"/>
    <w:rsid w:val="00561A17"/>
    <w:rsid w:val="00563290"/>
    <w:rsid w:val="00571FC1"/>
    <w:rsid w:val="00572637"/>
    <w:rsid w:val="00573EBA"/>
    <w:rsid w:val="00577741"/>
    <w:rsid w:val="005778E2"/>
    <w:rsid w:val="00581A85"/>
    <w:rsid w:val="0058265B"/>
    <w:rsid w:val="0059298A"/>
    <w:rsid w:val="005A10D3"/>
    <w:rsid w:val="005A1259"/>
    <w:rsid w:val="005A4D34"/>
    <w:rsid w:val="005A4EA6"/>
    <w:rsid w:val="005A5BB6"/>
    <w:rsid w:val="005A6208"/>
    <w:rsid w:val="005A736F"/>
    <w:rsid w:val="005A7855"/>
    <w:rsid w:val="005B23B2"/>
    <w:rsid w:val="005B4099"/>
    <w:rsid w:val="005C553F"/>
    <w:rsid w:val="005C5CC0"/>
    <w:rsid w:val="005D3292"/>
    <w:rsid w:val="005D72AF"/>
    <w:rsid w:val="005E0393"/>
    <w:rsid w:val="005E1798"/>
    <w:rsid w:val="005E524C"/>
    <w:rsid w:val="005F0D38"/>
    <w:rsid w:val="005F46E2"/>
    <w:rsid w:val="005F6DEF"/>
    <w:rsid w:val="005F7036"/>
    <w:rsid w:val="00600768"/>
    <w:rsid w:val="006007F1"/>
    <w:rsid w:val="00600FDD"/>
    <w:rsid w:val="006049EF"/>
    <w:rsid w:val="00610179"/>
    <w:rsid w:val="00613872"/>
    <w:rsid w:val="00615051"/>
    <w:rsid w:val="0062320B"/>
    <w:rsid w:val="0062546F"/>
    <w:rsid w:val="00625F5D"/>
    <w:rsid w:val="00630FBE"/>
    <w:rsid w:val="006310EB"/>
    <w:rsid w:val="00631B22"/>
    <w:rsid w:val="0063525D"/>
    <w:rsid w:val="00635680"/>
    <w:rsid w:val="00644983"/>
    <w:rsid w:val="00644C2E"/>
    <w:rsid w:val="00646D16"/>
    <w:rsid w:val="00647600"/>
    <w:rsid w:val="00652DE7"/>
    <w:rsid w:val="00657FD4"/>
    <w:rsid w:val="00663722"/>
    <w:rsid w:val="00670B41"/>
    <w:rsid w:val="00670FD1"/>
    <w:rsid w:val="0067198F"/>
    <w:rsid w:val="00671F53"/>
    <w:rsid w:val="006748F1"/>
    <w:rsid w:val="0067590A"/>
    <w:rsid w:val="00680047"/>
    <w:rsid w:val="006801F9"/>
    <w:rsid w:val="00681090"/>
    <w:rsid w:val="00683963"/>
    <w:rsid w:val="006861D0"/>
    <w:rsid w:val="00687A8C"/>
    <w:rsid w:val="0069645C"/>
    <w:rsid w:val="00696B01"/>
    <w:rsid w:val="006973D0"/>
    <w:rsid w:val="006A040B"/>
    <w:rsid w:val="006B21D6"/>
    <w:rsid w:val="006B4750"/>
    <w:rsid w:val="006B5043"/>
    <w:rsid w:val="006C2B22"/>
    <w:rsid w:val="006C2ECD"/>
    <w:rsid w:val="006C2FEA"/>
    <w:rsid w:val="006C4A1B"/>
    <w:rsid w:val="006D106C"/>
    <w:rsid w:val="006D1C6D"/>
    <w:rsid w:val="006D6009"/>
    <w:rsid w:val="006D668A"/>
    <w:rsid w:val="006E38DE"/>
    <w:rsid w:val="006E4FE8"/>
    <w:rsid w:val="006E52F0"/>
    <w:rsid w:val="006E6256"/>
    <w:rsid w:val="006F04A9"/>
    <w:rsid w:val="006F2180"/>
    <w:rsid w:val="006F2B41"/>
    <w:rsid w:val="006F4948"/>
    <w:rsid w:val="006F7AEA"/>
    <w:rsid w:val="00701DDB"/>
    <w:rsid w:val="00706466"/>
    <w:rsid w:val="00707E18"/>
    <w:rsid w:val="00707E86"/>
    <w:rsid w:val="00710ABB"/>
    <w:rsid w:val="00716304"/>
    <w:rsid w:val="00734496"/>
    <w:rsid w:val="00734BAC"/>
    <w:rsid w:val="00735DE8"/>
    <w:rsid w:val="00747D50"/>
    <w:rsid w:val="00750CFE"/>
    <w:rsid w:val="007574CF"/>
    <w:rsid w:val="007667AF"/>
    <w:rsid w:val="007678B0"/>
    <w:rsid w:val="00780020"/>
    <w:rsid w:val="00781AC6"/>
    <w:rsid w:val="00782CF4"/>
    <w:rsid w:val="007839AF"/>
    <w:rsid w:val="00784CED"/>
    <w:rsid w:val="00785DAE"/>
    <w:rsid w:val="00793D2D"/>
    <w:rsid w:val="00794494"/>
    <w:rsid w:val="00797762"/>
    <w:rsid w:val="007A1166"/>
    <w:rsid w:val="007A5817"/>
    <w:rsid w:val="007A5A2C"/>
    <w:rsid w:val="007B1022"/>
    <w:rsid w:val="007B3863"/>
    <w:rsid w:val="007B3B10"/>
    <w:rsid w:val="007B48C6"/>
    <w:rsid w:val="007B63D3"/>
    <w:rsid w:val="007B78DE"/>
    <w:rsid w:val="007B7F7E"/>
    <w:rsid w:val="007C0463"/>
    <w:rsid w:val="007C059B"/>
    <w:rsid w:val="007C0935"/>
    <w:rsid w:val="007C2956"/>
    <w:rsid w:val="007C6BE5"/>
    <w:rsid w:val="007D23D2"/>
    <w:rsid w:val="007D2B22"/>
    <w:rsid w:val="007D3B66"/>
    <w:rsid w:val="007E2C1F"/>
    <w:rsid w:val="007E6C03"/>
    <w:rsid w:val="007E6C65"/>
    <w:rsid w:val="007F14DA"/>
    <w:rsid w:val="007F3FAA"/>
    <w:rsid w:val="00800E39"/>
    <w:rsid w:val="00801DF3"/>
    <w:rsid w:val="008034E5"/>
    <w:rsid w:val="00803C5D"/>
    <w:rsid w:val="008055D4"/>
    <w:rsid w:val="00805DE6"/>
    <w:rsid w:val="008079AD"/>
    <w:rsid w:val="00810FE9"/>
    <w:rsid w:val="0081264E"/>
    <w:rsid w:val="00812BDE"/>
    <w:rsid w:val="00812D6C"/>
    <w:rsid w:val="00820293"/>
    <w:rsid w:val="0082167A"/>
    <w:rsid w:val="008231E6"/>
    <w:rsid w:val="008256CA"/>
    <w:rsid w:val="00825C4E"/>
    <w:rsid w:val="00826B89"/>
    <w:rsid w:val="00831165"/>
    <w:rsid w:val="0083146E"/>
    <w:rsid w:val="008329BC"/>
    <w:rsid w:val="0083419A"/>
    <w:rsid w:val="00834D3A"/>
    <w:rsid w:val="00842F90"/>
    <w:rsid w:val="0084589B"/>
    <w:rsid w:val="00847A34"/>
    <w:rsid w:val="0085073B"/>
    <w:rsid w:val="008512E1"/>
    <w:rsid w:val="00851F9A"/>
    <w:rsid w:val="00856920"/>
    <w:rsid w:val="00866C34"/>
    <w:rsid w:val="00866E3E"/>
    <w:rsid w:val="00874B84"/>
    <w:rsid w:val="008870C0"/>
    <w:rsid w:val="008967E4"/>
    <w:rsid w:val="008968C9"/>
    <w:rsid w:val="00896954"/>
    <w:rsid w:val="00896DD5"/>
    <w:rsid w:val="008A0034"/>
    <w:rsid w:val="008A2DC3"/>
    <w:rsid w:val="008A56EA"/>
    <w:rsid w:val="008A70AC"/>
    <w:rsid w:val="008B5E21"/>
    <w:rsid w:val="008C1349"/>
    <w:rsid w:val="008D5BB6"/>
    <w:rsid w:val="008D7321"/>
    <w:rsid w:val="008E05CC"/>
    <w:rsid w:val="008E0FB7"/>
    <w:rsid w:val="008E699D"/>
    <w:rsid w:val="008F2AFC"/>
    <w:rsid w:val="008F2FBC"/>
    <w:rsid w:val="008F4347"/>
    <w:rsid w:val="008F4D90"/>
    <w:rsid w:val="008F646F"/>
    <w:rsid w:val="0090161D"/>
    <w:rsid w:val="00907C08"/>
    <w:rsid w:val="00910AB1"/>
    <w:rsid w:val="00912EBE"/>
    <w:rsid w:val="0091384B"/>
    <w:rsid w:val="00916B7A"/>
    <w:rsid w:val="00920DFA"/>
    <w:rsid w:val="009213AC"/>
    <w:rsid w:val="0092307B"/>
    <w:rsid w:val="009233A9"/>
    <w:rsid w:val="00930B23"/>
    <w:rsid w:val="00931B41"/>
    <w:rsid w:val="0093220F"/>
    <w:rsid w:val="00935886"/>
    <w:rsid w:val="0093626A"/>
    <w:rsid w:val="00936953"/>
    <w:rsid w:val="00940994"/>
    <w:rsid w:val="009409FF"/>
    <w:rsid w:val="00940FBD"/>
    <w:rsid w:val="009415EF"/>
    <w:rsid w:val="00941F4D"/>
    <w:rsid w:val="00944A15"/>
    <w:rsid w:val="00944FA3"/>
    <w:rsid w:val="00945737"/>
    <w:rsid w:val="00946A13"/>
    <w:rsid w:val="00951843"/>
    <w:rsid w:val="00957657"/>
    <w:rsid w:val="00962177"/>
    <w:rsid w:val="00962843"/>
    <w:rsid w:val="00966634"/>
    <w:rsid w:val="00967E21"/>
    <w:rsid w:val="00970181"/>
    <w:rsid w:val="009707DE"/>
    <w:rsid w:val="009726FF"/>
    <w:rsid w:val="00973912"/>
    <w:rsid w:val="00974098"/>
    <w:rsid w:val="009770DB"/>
    <w:rsid w:val="009839B5"/>
    <w:rsid w:val="0098462D"/>
    <w:rsid w:val="00986196"/>
    <w:rsid w:val="00987D51"/>
    <w:rsid w:val="00995329"/>
    <w:rsid w:val="00996E70"/>
    <w:rsid w:val="009A1FF5"/>
    <w:rsid w:val="009A3782"/>
    <w:rsid w:val="009A46E0"/>
    <w:rsid w:val="009A50E6"/>
    <w:rsid w:val="009A570E"/>
    <w:rsid w:val="009A704A"/>
    <w:rsid w:val="009B6C3F"/>
    <w:rsid w:val="009C06C6"/>
    <w:rsid w:val="009C1A4A"/>
    <w:rsid w:val="009C1AF4"/>
    <w:rsid w:val="009C52A4"/>
    <w:rsid w:val="009C7078"/>
    <w:rsid w:val="009C70D2"/>
    <w:rsid w:val="009D15E5"/>
    <w:rsid w:val="009D32AC"/>
    <w:rsid w:val="009D508A"/>
    <w:rsid w:val="009D78FC"/>
    <w:rsid w:val="009E0F69"/>
    <w:rsid w:val="009E1D0C"/>
    <w:rsid w:val="009E25BC"/>
    <w:rsid w:val="009E45D0"/>
    <w:rsid w:val="009F4A6F"/>
    <w:rsid w:val="009F7831"/>
    <w:rsid w:val="00A00EAE"/>
    <w:rsid w:val="00A0364F"/>
    <w:rsid w:val="00A03AB4"/>
    <w:rsid w:val="00A05FD8"/>
    <w:rsid w:val="00A07287"/>
    <w:rsid w:val="00A07723"/>
    <w:rsid w:val="00A07729"/>
    <w:rsid w:val="00A12AB4"/>
    <w:rsid w:val="00A15C7B"/>
    <w:rsid w:val="00A16903"/>
    <w:rsid w:val="00A216EE"/>
    <w:rsid w:val="00A22287"/>
    <w:rsid w:val="00A2513D"/>
    <w:rsid w:val="00A31E45"/>
    <w:rsid w:val="00A32CE2"/>
    <w:rsid w:val="00A37367"/>
    <w:rsid w:val="00A413CF"/>
    <w:rsid w:val="00A41E69"/>
    <w:rsid w:val="00A4322F"/>
    <w:rsid w:val="00A4645E"/>
    <w:rsid w:val="00A46611"/>
    <w:rsid w:val="00A54388"/>
    <w:rsid w:val="00A5535A"/>
    <w:rsid w:val="00A57DD9"/>
    <w:rsid w:val="00A613CC"/>
    <w:rsid w:val="00A62D74"/>
    <w:rsid w:val="00A630DD"/>
    <w:rsid w:val="00A71622"/>
    <w:rsid w:val="00A72B67"/>
    <w:rsid w:val="00A73620"/>
    <w:rsid w:val="00A752AB"/>
    <w:rsid w:val="00A76B0B"/>
    <w:rsid w:val="00A80BC0"/>
    <w:rsid w:val="00A82578"/>
    <w:rsid w:val="00A840F2"/>
    <w:rsid w:val="00A87719"/>
    <w:rsid w:val="00A91B8B"/>
    <w:rsid w:val="00A936EB"/>
    <w:rsid w:val="00A94670"/>
    <w:rsid w:val="00A95507"/>
    <w:rsid w:val="00AA6417"/>
    <w:rsid w:val="00AB41C8"/>
    <w:rsid w:val="00AB4810"/>
    <w:rsid w:val="00AB5712"/>
    <w:rsid w:val="00AB64C0"/>
    <w:rsid w:val="00AB650C"/>
    <w:rsid w:val="00AB7153"/>
    <w:rsid w:val="00AB7432"/>
    <w:rsid w:val="00AC0681"/>
    <w:rsid w:val="00AC348B"/>
    <w:rsid w:val="00AC3E2E"/>
    <w:rsid w:val="00AC42D2"/>
    <w:rsid w:val="00AC5455"/>
    <w:rsid w:val="00AC638F"/>
    <w:rsid w:val="00AD2838"/>
    <w:rsid w:val="00AD5977"/>
    <w:rsid w:val="00AD6F54"/>
    <w:rsid w:val="00AD73DE"/>
    <w:rsid w:val="00AE02F0"/>
    <w:rsid w:val="00AE5312"/>
    <w:rsid w:val="00AF0014"/>
    <w:rsid w:val="00AF70CD"/>
    <w:rsid w:val="00AF7489"/>
    <w:rsid w:val="00B00B9D"/>
    <w:rsid w:val="00B02B25"/>
    <w:rsid w:val="00B11EE1"/>
    <w:rsid w:val="00B12FA0"/>
    <w:rsid w:val="00B1321C"/>
    <w:rsid w:val="00B13DBC"/>
    <w:rsid w:val="00B1643E"/>
    <w:rsid w:val="00B27071"/>
    <w:rsid w:val="00B3121B"/>
    <w:rsid w:val="00B31BEE"/>
    <w:rsid w:val="00B35F43"/>
    <w:rsid w:val="00B36674"/>
    <w:rsid w:val="00B37894"/>
    <w:rsid w:val="00B37DC3"/>
    <w:rsid w:val="00B4107A"/>
    <w:rsid w:val="00B4194B"/>
    <w:rsid w:val="00B432C3"/>
    <w:rsid w:val="00B4486B"/>
    <w:rsid w:val="00B4603A"/>
    <w:rsid w:val="00B479BC"/>
    <w:rsid w:val="00B47D29"/>
    <w:rsid w:val="00B47FDC"/>
    <w:rsid w:val="00B54798"/>
    <w:rsid w:val="00B62BC0"/>
    <w:rsid w:val="00B63E6A"/>
    <w:rsid w:val="00B65C24"/>
    <w:rsid w:val="00B6716B"/>
    <w:rsid w:val="00B6731A"/>
    <w:rsid w:val="00B71A1B"/>
    <w:rsid w:val="00B8130A"/>
    <w:rsid w:val="00B82BBC"/>
    <w:rsid w:val="00B840F9"/>
    <w:rsid w:val="00B904A6"/>
    <w:rsid w:val="00B917FC"/>
    <w:rsid w:val="00B943A6"/>
    <w:rsid w:val="00B95576"/>
    <w:rsid w:val="00B9584B"/>
    <w:rsid w:val="00B97674"/>
    <w:rsid w:val="00BA0422"/>
    <w:rsid w:val="00BA201C"/>
    <w:rsid w:val="00BA4873"/>
    <w:rsid w:val="00BA5D2E"/>
    <w:rsid w:val="00BA7EC9"/>
    <w:rsid w:val="00BB135C"/>
    <w:rsid w:val="00BB179A"/>
    <w:rsid w:val="00BB60FE"/>
    <w:rsid w:val="00BC3527"/>
    <w:rsid w:val="00BC3A85"/>
    <w:rsid w:val="00BC539B"/>
    <w:rsid w:val="00BC628E"/>
    <w:rsid w:val="00BC64BC"/>
    <w:rsid w:val="00BD49B0"/>
    <w:rsid w:val="00BD77CF"/>
    <w:rsid w:val="00BE1BC6"/>
    <w:rsid w:val="00BE29D9"/>
    <w:rsid w:val="00BE3920"/>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49A3"/>
    <w:rsid w:val="00C24A79"/>
    <w:rsid w:val="00C24DAA"/>
    <w:rsid w:val="00C26115"/>
    <w:rsid w:val="00C26801"/>
    <w:rsid w:val="00C33CB2"/>
    <w:rsid w:val="00C358BB"/>
    <w:rsid w:val="00C405F3"/>
    <w:rsid w:val="00C421F3"/>
    <w:rsid w:val="00C45777"/>
    <w:rsid w:val="00C4649F"/>
    <w:rsid w:val="00C47F3A"/>
    <w:rsid w:val="00C50248"/>
    <w:rsid w:val="00C527CD"/>
    <w:rsid w:val="00C54F7C"/>
    <w:rsid w:val="00C57BAE"/>
    <w:rsid w:val="00C639B7"/>
    <w:rsid w:val="00C64091"/>
    <w:rsid w:val="00C66B7D"/>
    <w:rsid w:val="00C66B84"/>
    <w:rsid w:val="00C66FA0"/>
    <w:rsid w:val="00C7564A"/>
    <w:rsid w:val="00C85ABC"/>
    <w:rsid w:val="00C91E56"/>
    <w:rsid w:val="00CA32D6"/>
    <w:rsid w:val="00CA3683"/>
    <w:rsid w:val="00CA56DF"/>
    <w:rsid w:val="00CA6B19"/>
    <w:rsid w:val="00CB22C9"/>
    <w:rsid w:val="00CB39DE"/>
    <w:rsid w:val="00CB4792"/>
    <w:rsid w:val="00CC4576"/>
    <w:rsid w:val="00CC6B63"/>
    <w:rsid w:val="00CD124D"/>
    <w:rsid w:val="00CD65A0"/>
    <w:rsid w:val="00CD709D"/>
    <w:rsid w:val="00CE1831"/>
    <w:rsid w:val="00CE1B14"/>
    <w:rsid w:val="00CE3AEA"/>
    <w:rsid w:val="00CE3BE5"/>
    <w:rsid w:val="00CE7703"/>
    <w:rsid w:val="00CF2EBE"/>
    <w:rsid w:val="00CF3A37"/>
    <w:rsid w:val="00CF47B6"/>
    <w:rsid w:val="00D007AC"/>
    <w:rsid w:val="00D0226F"/>
    <w:rsid w:val="00D02F6D"/>
    <w:rsid w:val="00D12194"/>
    <w:rsid w:val="00D1386B"/>
    <w:rsid w:val="00D13B30"/>
    <w:rsid w:val="00D15A05"/>
    <w:rsid w:val="00D167AE"/>
    <w:rsid w:val="00D260A3"/>
    <w:rsid w:val="00D30064"/>
    <w:rsid w:val="00D30B85"/>
    <w:rsid w:val="00D341CA"/>
    <w:rsid w:val="00D36A83"/>
    <w:rsid w:val="00D40517"/>
    <w:rsid w:val="00D442A0"/>
    <w:rsid w:val="00D45916"/>
    <w:rsid w:val="00D5066D"/>
    <w:rsid w:val="00D55FAC"/>
    <w:rsid w:val="00D57DFA"/>
    <w:rsid w:val="00D627E2"/>
    <w:rsid w:val="00D63608"/>
    <w:rsid w:val="00D650B6"/>
    <w:rsid w:val="00D660EC"/>
    <w:rsid w:val="00D704B5"/>
    <w:rsid w:val="00D70B37"/>
    <w:rsid w:val="00D7464B"/>
    <w:rsid w:val="00D774E8"/>
    <w:rsid w:val="00D801E6"/>
    <w:rsid w:val="00D8085E"/>
    <w:rsid w:val="00D80870"/>
    <w:rsid w:val="00D91629"/>
    <w:rsid w:val="00D9287F"/>
    <w:rsid w:val="00D95EF6"/>
    <w:rsid w:val="00D9779E"/>
    <w:rsid w:val="00D97835"/>
    <w:rsid w:val="00DA0D9B"/>
    <w:rsid w:val="00DA273A"/>
    <w:rsid w:val="00DA3126"/>
    <w:rsid w:val="00DA3E64"/>
    <w:rsid w:val="00DA4E49"/>
    <w:rsid w:val="00DB0116"/>
    <w:rsid w:val="00DB2406"/>
    <w:rsid w:val="00DB5829"/>
    <w:rsid w:val="00DC0CF2"/>
    <w:rsid w:val="00DC504A"/>
    <w:rsid w:val="00DC7FBF"/>
    <w:rsid w:val="00DD1ABC"/>
    <w:rsid w:val="00DD2ACB"/>
    <w:rsid w:val="00DD75DB"/>
    <w:rsid w:val="00DE05B8"/>
    <w:rsid w:val="00DE3A92"/>
    <w:rsid w:val="00DE4971"/>
    <w:rsid w:val="00DE5DC5"/>
    <w:rsid w:val="00DF0045"/>
    <w:rsid w:val="00DF1947"/>
    <w:rsid w:val="00DF1EDB"/>
    <w:rsid w:val="00DF5F06"/>
    <w:rsid w:val="00E01C8C"/>
    <w:rsid w:val="00E01EDB"/>
    <w:rsid w:val="00E05301"/>
    <w:rsid w:val="00E05958"/>
    <w:rsid w:val="00E0763F"/>
    <w:rsid w:val="00E20730"/>
    <w:rsid w:val="00E215CB"/>
    <w:rsid w:val="00E21867"/>
    <w:rsid w:val="00E231ED"/>
    <w:rsid w:val="00E23480"/>
    <w:rsid w:val="00E244F1"/>
    <w:rsid w:val="00E24C48"/>
    <w:rsid w:val="00E25E5C"/>
    <w:rsid w:val="00E2716F"/>
    <w:rsid w:val="00E41631"/>
    <w:rsid w:val="00E45D3C"/>
    <w:rsid w:val="00E52E3C"/>
    <w:rsid w:val="00E54AB5"/>
    <w:rsid w:val="00E630D0"/>
    <w:rsid w:val="00E66060"/>
    <w:rsid w:val="00E66576"/>
    <w:rsid w:val="00E674AB"/>
    <w:rsid w:val="00E71F19"/>
    <w:rsid w:val="00E74119"/>
    <w:rsid w:val="00E753EA"/>
    <w:rsid w:val="00E8002A"/>
    <w:rsid w:val="00E80ED7"/>
    <w:rsid w:val="00E8529A"/>
    <w:rsid w:val="00E871BA"/>
    <w:rsid w:val="00E9485D"/>
    <w:rsid w:val="00E97E6C"/>
    <w:rsid w:val="00EA1E0E"/>
    <w:rsid w:val="00EA668B"/>
    <w:rsid w:val="00EB0333"/>
    <w:rsid w:val="00EB0ECA"/>
    <w:rsid w:val="00EB20CF"/>
    <w:rsid w:val="00EB22C8"/>
    <w:rsid w:val="00EC1267"/>
    <w:rsid w:val="00EC154C"/>
    <w:rsid w:val="00EC4AE1"/>
    <w:rsid w:val="00EC6E1A"/>
    <w:rsid w:val="00ED0427"/>
    <w:rsid w:val="00ED0BEA"/>
    <w:rsid w:val="00ED2E37"/>
    <w:rsid w:val="00ED397C"/>
    <w:rsid w:val="00ED471B"/>
    <w:rsid w:val="00ED6540"/>
    <w:rsid w:val="00EE0C55"/>
    <w:rsid w:val="00EE1139"/>
    <w:rsid w:val="00EE1CE3"/>
    <w:rsid w:val="00EE32E9"/>
    <w:rsid w:val="00EE3CBD"/>
    <w:rsid w:val="00EE5C4E"/>
    <w:rsid w:val="00EF3B2C"/>
    <w:rsid w:val="00EF4104"/>
    <w:rsid w:val="00EF7303"/>
    <w:rsid w:val="00EF7EA0"/>
    <w:rsid w:val="00F01192"/>
    <w:rsid w:val="00F032FD"/>
    <w:rsid w:val="00F03332"/>
    <w:rsid w:val="00F034C4"/>
    <w:rsid w:val="00F0381E"/>
    <w:rsid w:val="00F075E1"/>
    <w:rsid w:val="00F077AB"/>
    <w:rsid w:val="00F130F0"/>
    <w:rsid w:val="00F20045"/>
    <w:rsid w:val="00F20E5B"/>
    <w:rsid w:val="00F22EF5"/>
    <w:rsid w:val="00F2335A"/>
    <w:rsid w:val="00F23B21"/>
    <w:rsid w:val="00F24B76"/>
    <w:rsid w:val="00F2555A"/>
    <w:rsid w:val="00F25F20"/>
    <w:rsid w:val="00F26D0B"/>
    <w:rsid w:val="00F323DC"/>
    <w:rsid w:val="00F346B6"/>
    <w:rsid w:val="00F4025C"/>
    <w:rsid w:val="00F4212F"/>
    <w:rsid w:val="00F436BC"/>
    <w:rsid w:val="00F45F56"/>
    <w:rsid w:val="00F54C4D"/>
    <w:rsid w:val="00F564F4"/>
    <w:rsid w:val="00F5771C"/>
    <w:rsid w:val="00F67D6C"/>
    <w:rsid w:val="00F71555"/>
    <w:rsid w:val="00F76553"/>
    <w:rsid w:val="00F779B1"/>
    <w:rsid w:val="00F821DB"/>
    <w:rsid w:val="00F8522E"/>
    <w:rsid w:val="00F90848"/>
    <w:rsid w:val="00F93508"/>
    <w:rsid w:val="00F94870"/>
    <w:rsid w:val="00F94A5F"/>
    <w:rsid w:val="00F969A0"/>
    <w:rsid w:val="00F9750C"/>
    <w:rsid w:val="00FA1898"/>
    <w:rsid w:val="00FA7122"/>
    <w:rsid w:val="00FA74FB"/>
    <w:rsid w:val="00FB2ACE"/>
    <w:rsid w:val="00FB38EF"/>
    <w:rsid w:val="00FB47A0"/>
    <w:rsid w:val="00FB5018"/>
    <w:rsid w:val="00FB6678"/>
    <w:rsid w:val="00FC3A54"/>
    <w:rsid w:val="00FC5244"/>
    <w:rsid w:val="00FD1F30"/>
    <w:rsid w:val="00FD5D2D"/>
    <w:rsid w:val="00FD6260"/>
    <w:rsid w:val="00FE2779"/>
    <w:rsid w:val="00FE297C"/>
    <w:rsid w:val="00FE503B"/>
    <w:rsid w:val="00FE779D"/>
    <w:rsid w:val="00FF0618"/>
    <w:rsid w:val="00FF49F8"/>
    <w:rsid w:val="00FF4CA1"/>
    <w:rsid w:val="00FF559E"/>
    <w:rsid w:val="00FF6F24"/>
    <w:rsid w:val="00FF7CEF"/>
    <w:rsid w:val="2AEEE189"/>
    <w:rsid w:val="3FBF6F17"/>
    <w:rsid w:val="3FEF29A9"/>
    <w:rsid w:val="3FEFD27A"/>
    <w:rsid w:val="3FFFA2D2"/>
    <w:rsid w:val="424BCED1"/>
    <w:rsid w:val="5EFFAAD2"/>
    <w:rsid w:val="5F67AF73"/>
    <w:rsid w:val="665F5DBD"/>
    <w:rsid w:val="69330B00"/>
    <w:rsid w:val="69372060"/>
    <w:rsid w:val="6EE73402"/>
    <w:rsid w:val="6F2B90CA"/>
    <w:rsid w:val="6F6C4E84"/>
    <w:rsid w:val="6FF73CA6"/>
    <w:rsid w:val="6FFD91A2"/>
    <w:rsid w:val="74EF679A"/>
    <w:rsid w:val="76AB857F"/>
    <w:rsid w:val="776D88C4"/>
    <w:rsid w:val="77FD2ADD"/>
    <w:rsid w:val="7B7BFF5E"/>
    <w:rsid w:val="7BFBBDF0"/>
    <w:rsid w:val="7CC5CD95"/>
    <w:rsid w:val="7CFF91AE"/>
    <w:rsid w:val="7D77D864"/>
    <w:rsid w:val="7D7D8003"/>
    <w:rsid w:val="7DF7D34C"/>
    <w:rsid w:val="7ECFBA35"/>
    <w:rsid w:val="7EEFCD84"/>
    <w:rsid w:val="7F9FD96B"/>
    <w:rsid w:val="7FE30A97"/>
    <w:rsid w:val="7FFDC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923644"/>
  <w15:docId w15:val="{FC91E0C9-1A54-4A29-8691-09702132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0F3D"/>
    <w:pPr>
      <w:overflowPunct w:val="0"/>
      <w:autoSpaceDE w:val="0"/>
      <w:autoSpaceDN w:val="0"/>
      <w:adjustRightInd w:val="0"/>
      <w:spacing w:after="120"/>
      <w:jc w:val="both"/>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sz w:val="36"/>
      <w:szCs w:val="36"/>
      <w:lang w:val="en-GB"/>
    </w:rPr>
  </w:style>
  <w:style w:type="paragraph" w:styleId="2">
    <w:name w:val="heading 2"/>
    <w:basedOn w:val="1"/>
    <w:next w:val="a"/>
    <w:link w:val="20"/>
    <w:unhideWhenUsed/>
    <w:qFormat/>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3"/>
    <w:next w:val="a"/>
    <w:link w:val="41"/>
    <w:semiHidden/>
    <w:unhideWhenUsed/>
    <w:qFormat/>
    <w:pPr>
      <w:numPr>
        <w:ilvl w:val="3"/>
        <w:numId w:val="1"/>
      </w:numPr>
      <w:spacing w:before="120" w:after="180"/>
      <w:jc w:val="left"/>
      <w:outlineLvl w:val="3"/>
    </w:pPr>
    <w:rPr>
      <w:rFonts w:ascii="Arial" w:eastAsia="Times New Roman" w:hAnsi="Arial" w:cs="Times New Roman"/>
      <w:color w:val="auto"/>
    </w:rPr>
  </w:style>
  <w:style w:type="paragraph" w:styleId="5">
    <w:name w:val="heading 5"/>
    <w:basedOn w:val="4"/>
    <w:next w:val="a"/>
    <w:link w:val="50"/>
    <w:semiHidden/>
    <w:unhideWhenUsed/>
    <w:qFormat/>
    <w:pPr>
      <w:numPr>
        <w:ilvl w:val="4"/>
      </w:numPr>
      <w:outlineLvl w:val="4"/>
    </w:pPr>
    <w:rPr>
      <w:sz w:val="22"/>
      <w:szCs w:val="22"/>
    </w:rPr>
  </w:style>
  <w:style w:type="paragraph" w:styleId="6">
    <w:name w:val="heading 6"/>
    <w:basedOn w:val="a"/>
    <w:next w:val="a"/>
    <w:link w:val="60"/>
    <w:semiHidden/>
    <w:unhideWhenUsed/>
    <w:qFormat/>
    <w:pPr>
      <w:keepNext/>
      <w:keepLines/>
      <w:numPr>
        <w:ilvl w:val="5"/>
        <w:numId w:val="1"/>
      </w:numPr>
      <w:spacing w:before="120"/>
      <w:outlineLvl w:val="5"/>
    </w:pPr>
    <w:rPr>
      <w:rFonts w:cs="Arial"/>
    </w:rPr>
  </w:style>
  <w:style w:type="paragraph" w:styleId="7">
    <w:name w:val="heading 7"/>
    <w:basedOn w:val="a"/>
    <w:next w:val="a"/>
    <w:link w:val="70"/>
    <w:semiHidden/>
    <w:unhideWhenUsed/>
    <w:qFormat/>
    <w:pPr>
      <w:keepNext/>
      <w:keepLines/>
      <w:numPr>
        <w:ilvl w:val="6"/>
        <w:numId w:val="1"/>
      </w:numPr>
      <w:spacing w:before="120"/>
      <w:outlineLvl w:val="6"/>
    </w:pPr>
    <w:rPr>
      <w:rFonts w:cs="Arial"/>
    </w:rPr>
  </w:style>
  <w:style w:type="paragraph" w:styleId="8">
    <w:name w:val="heading 8"/>
    <w:basedOn w:val="7"/>
    <w:next w:val="a"/>
    <w:link w:val="80"/>
    <w:semiHidden/>
    <w:unhideWhenUsed/>
    <w:qFormat/>
    <w:pPr>
      <w:numPr>
        <w:ilvl w:val="7"/>
      </w:numPr>
      <w:outlineLvl w:val="7"/>
    </w:pPr>
  </w:style>
  <w:style w:type="paragraph" w:styleId="9">
    <w:name w:val="heading 9"/>
    <w:basedOn w:val="8"/>
    <w:next w:val="a"/>
    <w:link w:val="90"/>
    <w:semiHidden/>
    <w:unhideWhenUsed/>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a5"/>
    <w:uiPriority w:val="99"/>
    <w:unhideWhenUsed/>
  </w:style>
  <w:style w:type="paragraph" w:styleId="a6">
    <w:name w:val="Body Text"/>
    <w:basedOn w:val="a"/>
    <w:link w:val="a7"/>
    <w:unhideWhenUsed/>
    <w:qFormat/>
    <w:rPr>
      <w:rFonts w:eastAsia="Malgun Gothic"/>
    </w:rPr>
  </w:style>
  <w:style w:type="paragraph" w:styleId="21">
    <w:name w:val="List 2"/>
    <w:basedOn w:val="a"/>
    <w:uiPriority w:val="99"/>
    <w:semiHidden/>
    <w:unhideWhenUsed/>
    <w:pPr>
      <w:ind w:leftChars="200" w:left="100" w:hangingChars="200" w:hanging="200"/>
      <w:contextualSpacing/>
    </w:pPr>
  </w:style>
  <w:style w:type="paragraph" w:styleId="a8">
    <w:name w:val="Balloon Text"/>
    <w:basedOn w:val="a"/>
    <w:link w:val="a9"/>
    <w:uiPriority w:val="99"/>
    <w:semiHidden/>
    <w:unhideWhenUsed/>
    <w:pPr>
      <w:spacing w:after="0"/>
    </w:pPr>
    <w:rPr>
      <w:rFonts w:ascii="Segoe UI" w:hAnsi="Segoe UI" w:cs="Segoe UI"/>
      <w:sz w:val="18"/>
      <w:szCs w:val="18"/>
    </w:rPr>
  </w:style>
  <w:style w:type="paragraph" w:styleId="aa">
    <w:name w:val="footer"/>
    <w:basedOn w:val="a"/>
    <w:link w:val="ab"/>
    <w:uiPriority w:val="99"/>
    <w:unhideWhenUsed/>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51">
    <w:name w:val="List 5"/>
    <w:basedOn w:val="a"/>
    <w:uiPriority w:val="99"/>
    <w:semiHidden/>
    <w:unhideWhenUsed/>
    <w:qFormat/>
    <w:pPr>
      <w:ind w:leftChars="800" w:left="100" w:hangingChars="200" w:hanging="200"/>
    </w:pPr>
  </w:style>
  <w:style w:type="paragraph" w:styleId="40">
    <w:name w:val="List 4"/>
    <w:basedOn w:val="a"/>
    <w:uiPriority w:val="99"/>
    <w:semiHidden/>
    <w:unhideWhenUsed/>
    <w:pPr>
      <w:ind w:leftChars="600" w:left="100" w:hangingChars="200" w:hanging="200"/>
    </w:pPr>
  </w:style>
  <w:style w:type="paragraph" w:styleId="ae">
    <w:name w:val="Normal (Web)"/>
    <w:basedOn w:val="a"/>
    <w:uiPriority w:val="99"/>
    <w:semiHidden/>
    <w:unhideWhenUsed/>
    <w:qFormat/>
    <w:pPr>
      <w:overflowPunct/>
      <w:autoSpaceDE/>
      <w:autoSpaceDN/>
      <w:adjustRightInd/>
      <w:spacing w:before="100" w:beforeAutospacing="1" w:after="100" w:afterAutospacing="1"/>
      <w:jc w:val="left"/>
    </w:pPr>
    <w:rPr>
      <w:rFonts w:eastAsiaTheme="minorEastAsia"/>
      <w:sz w:val="24"/>
      <w:szCs w:val="24"/>
    </w:rPr>
  </w:style>
  <w:style w:type="paragraph" w:styleId="af">
    <w:name w:val="annotation subject"/>
    <w:basedOn w:val="a4"/>
    <w:next w:val="a4"/>
    <w:link w:val="af0"/>
    <w:uiPriority w:val="99"/>
    <w:semiHidden/>
    <w:unhideWhenUsed/>
    <w:rPr>
      <w:b/>
      <w:bCs/>
    </w:rPr>
  </w:style>
  <w:style w:type="table" w:styleId="af1">
    <w:name w:val="Table Grid"/>
    <w:basedOn w:val="a1"/>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qFormat/>
    <w:rPr>
      <w:sz w:val="16"/>
      <w:szCs w:val="16"/>
    </w:rPr>
  </w:style>
  <w:style w:type="character" w:customStyle="1" w:styleId="Heading1Char">
    <w:name w:val="Heading 1 Char"/>
    <w:basedOn w:val="a0"/>
    <w:uiPriority w:val="9"/>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basedOn w:val="a0"/>
    <w:link w:val="2"/>
    <w:rPr>
      <w:rFonts w:ascii="Arial" w:eastAsia="Times New Roman" w:hAnsi="Arial" w:cs="Times New Roman"/>
      <w:sz w:val="32"/>
      <w:szCs w:val="32"/>
      <w:lang w:val="en-GB" w:eastAsia="zh-CN"/>
    </w:rPr>
  </w:style>
  <w:style w:type="character" w:customStyle="1" w:styleId="41">
    <w:name w:val="标题 4 字符1"/>
    <w:basedOn w:val="a0"/>
    <w:link w:val="4"/>
    <w:semiHidden/>
    <w:rPr>
      <w:rFonts w:ascii="Arial" w:eastAsia="Times New Roman" w:hAnsi="Arial" w:cs="Times New Roman"/>
      <w:sz w:val="24"/>
      <w:szCs w:val="24"/>
      <w:lang w:val="en-GB" w:eastAsia="zh-CN"/>
    </w:rPr>
  </w:style>
  <w:style w:type="character" w:customStyle="1" w:styleId="50">
    <w:name w:val="标题 5 字符"/>
    <w:basedOn w:val="a0"/>
    <w:link w:val="5"/>
    <w:semiHidden/>
    <w:qFormat/>
    <w:rPr>
      <w:rFonts w:ascii="Arial" w:eastAsia="Times New Roman" w:hAnsi="Arial" w:cs="Times New Roman"/>
      <w:lang w:val="en-GB" w:eastAsia="zh-CN"/>
    </w:rPr>
  </w:style>
  <w:style w:type="character" w:customStyle="1" w:styleId="60">
    <w:name w:val="标题 6 字符"/>
    <w:basedOn w:val="a0"/>
    <w:link w:val="6"/>
    <w:semiHidden/>
    <w:qFormat/>
    <w:rPr>
      <w:rFonts w:ascii="Arial" w:eastAsia="宋体" w:hAnsi="Arial" w:cs="Arial"/>
      <w:sz w:val="20"/>
      <w:szCs w:val="20"/>
      <w:lang w:val="en-US" w:eastAsia="zh-CN"/>
    </w:rPr>
  </w:style>
  <w:style w:type="character" w:customStyle="1" w:styleId="70">
    <w:name w:val="标题 7 字符"/>
    <w:basedOn w:val="a0"/>
    <w:link w:val="7"/>
    <w:semiHidden/>
    <w:qFormat/>
    <w:rPr>
      <w:rFonts w:ascii="Arial" w:eastAsia="宋体" w:hAnsi="Arial" w:cs="Arial"/>
      <w:sz w:val="20"/>
      <w:szCs w:val="20"/>
      <w:lang w:val="en-US" w:eastAsia="zh-CN"/>
    </w:rPr>
  </w:style>
  <w:style w:type="character" w:customStyle="1" w:styleId="80">
    <w:name w:val="标题 8 字符"/>
    <w:basedOn w:val="a0"/>
    <w:link w:val="8"/>
    <w:semiHidden/>
    <w:qFormat/>
    <w:rPr>
      <w:rFonts w:ascii="Arial" w:eastAsia="宋体" w:hAnsi="Arial" w:cs="Arial"/>
      <w:sz w:val="20"/>
      <w:szCs w:val="20"/>
      <w:lang w:val="en-US" w:eastAsia="zh-CN"/>
    </w:rPr>
  </w:style>
  <w:style w:type="character" w:customStyle="1" w:styleId="90">
    <w:name w:val="标题 9 字符"/>
    <w:basedOn w:val="a0"/>
    <w:link w:val="9"/>
    <w:semiHidden/>
    <w:rPr>
      <w:rFonts w:ascii="Arial" w:eastAsia="宋体" w:hAnsi="Arial" w:cs="Arial"/>
      <w:sz w:val="20"/>
      <w:szCs w:val="20"/>
      <w:lang w:val="en-US" w:eastAsia="zh-CN"/>
    </w:rPr>
  </w:style>
  <w:style w:type="character" w:customStyle="1" w:styleId="10">
    <w:name w:val="标题 1 字符"/>
    <w:link w:val="1"/>
    <w:locked/>
    <w:rPr>
      <w:rFonts w:ascii="Arial" w:eastAsia="Times New Roman" w:hAnsi="Arial" w:cs="Times New Roman"/>
      <w:sz w:val="36"/>
      <w:szCs w:val="36"/>
      <w:lang w:val="en-GB" w:eastAsia="zh-CN"/>
    </w:rPr>
  </w:style>
  <w:style w:type="character" w:customStyle="1" w:styleId="a7">
    <w:name w:val="正文文本 字符"/>
    <w:basedOn w:val="a0"/>
    <w:link w:val="a6"/>
    <w:rPr>
      <w:rFonts w:ascii="Arial" w:eastAsia="Malgun Gothic" w:hAnsi="Arial" w:cs="Times New Roman"/>
      <w:sz w:val="20"/>
      <w:szCs w:val="20"/>
      <w:lang w:val="en-GB" w:eastAsia="zh-CN"/>
    </w:rPr>
  </w:style>
  <w:style w:type="character" w:customStyle="1" w:styleId="af3">
    <w:name w:val="列表段落 字符"/>
    <w:link w:val="af4"/>
    <w:uiPriority w:val="34"/>
    <w:qFormat/>
    <w:locked/>
    <w:rPr>
      <w:rFonts w:ascii="Calibri" w:eastAsia="宋体" w:hAnsi="Calibri" w:cs="Calibri"/>
      <w:lang w:val="zh-CN" w:eastAsia="zh-CN"/>
    </w:rPr>
  </w:style>
  <w:style w:type="paragraph" w:styleId="af4">
    <w:name w:val="List Paragraph"/>
    <w:basedOn w:val="a"/>
    <w:link w:val="af3"/>
    <w:uiPriority w:val="34"/>
    <w:qFormat/>
    <w:pPr>
      <w:overflowPunct/>
      <w:autoSpaceDE/>
      <w:autoSpaceDN/>
      <w:adjustRightInd/>
      <w:spacing w:after="0"/>
      <w:ind w:left="720"/>
      <w:jc w:val="left"/>
    </w:pPr>
    <w:rPr>
      <w:rFonts w:ascii="Calibri" w:hAnsi="Calibri" w:cs="Calibri"/>
      <w:sz w:val="22"/>
      <w:szCs w:val="22"/>
      <w:lang w:val="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ProposalChar">
    <w:name w:val="Proposal Char"/>
    <w:link w:val="Proposal"/>
    <w:locked/>
    <w:rPr>
      <w:rFonts w:ascii="Arial" w:hAnsi="Arial"/>
      <w:b/>
      <w:bCs/>
      <w:lang w:val="zh-CN" w:eastAsia="zh-CN"/>
    </w:rPr>
  </w:style>
  <w:style w:type="paragraph" w:customStyle="1" w:styleId="Proposal">
    <w:name w:val="Proposal"/>
    <w:basedOn w:val="a"/>
    <w:link w:val="ProposalChar"/>
    <w:qFormat/>
    <w:pPr>
      <w:numPr>
        <w:numId w:val="2"/>
      </w:numPr>
    </w:pPr>
    <w:rPr>
      <w:rFonts w:eastAsiaTheme="minorHAnsi" w:cstheme="minorBidi"/>
      <w:b/>
      <w:bCs/>
      <w:sz w:val="22"/>
      <w:szCs w:val="22"/>
      <w:lang w:val="zh-CN"/>
    </w:rPr>
  </w:style>
  <w:style w:type="character" w:customStyle="1" w:styleId="PLChar">
    <w:name w:val="PL Char"/>
    <w:link w:val="PL"/>
    <w:qFormat/>
    <w:locked/>
    <w:rPr>
      <w:rFonts w:ascii="Courier New"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heme="minorEastAsia" w:hAnsi="Courier New" w:cs="Courier New"/>
      <w:sz w:val="16"/>
      <w:szCs w:val="16"/>
      <w:lang w:val="en-GB" w:eastAsia="ja-JP"/>
    </w:rPr>
  </w:style>
  <w:style w:type="character" w:customStyle="1" w:styleId="CRCoverPageZchn">
    <w:name w:val="CR Cover Page Zchn"/>
    <w:link w:val="CRCoverPage"/>
    <w:locked/>
    <w:rPr>
      <w:rFonts w:ascii="Arial" w:eastAsia="MS Mincho" w:hAnsi="Arial" w:cs="Arial"/>
      <w:lang w:val="en-GB"/>
    </w:rPr>
  </w:style>
  <w:style w:type="paragraph" w:customStyle="1" w:styleId="CRCoverPage">
    <w:name w:val="CR Cover Page"/>
    <w:link w:val="CRCoverPageZchn"/>
    <w:pPr>
      <w:spacing w:after="120"/>
    </w:pPr>
    <w:rPr>
      <w:rFonts w:ascii="Arial" w:eastAsia="MS Mincho" w:hAnsi="Arial" w:cs="Arial"/>
      <w:sz w:val="22"/>
      <w:szCs w:val="22"/>
      <w:lang w:val="en-GB" w:eastAsia="en-US"/>
    </w:rPr>
  </w:style>
  <w:style w:type="paragraph" w:customStyle="1" w:styleId="References">
    <w:name w:val="References"/>
    <w:basedOn w:val="a"/>
    <w:pPr>
      <w:numPr>
        <w:numId w:val="3"/>
      </w:numPr>
      <w:overflowPunct/>
      <w:adjustRightInd/>
      <w:snapToGrid w:val="0"/>
      <w:spacing w:after="60"/>
    </w:pPr>
    <w:rPr>
      <w:szCs w:val="16"/>
      <w:lang w:eastAsia="en-US"/>
    </w:rPr>
  </w:style>
  <w:style w:type="table" w:customStyle="1" w:styleId="11">
    <w:name w:val="网格型1"/>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uiPriority w:val="9"/>
    <w:semiHidden/>
    <w:rPr>
      <w:rFonts w:asciiTheme="majorHAnsi" w:eastAsiaTheme="majorEastAsia" w:hAnsiTheme="majorHAnsi" w:cstheme="majorBidi"/>
      <w:color w:val="1F3864" w:themeColor="accent1" w:themeShade="80"/>
      <w:sz w:val="24"/>
      <w:szCs w:val="24"/>
      <w:lang w:val="en-US" w:eastAsia="zh-CN"/>
    </w:rPr>
  </w:style>
  <w:style w:type="character" w:customStyle="1" w:styleId="a5">
    <w:name w:val="批注文字 字符"/>
    <w:basedOn w:val="a0"/>
    <w:link w:val="a4"/>
    <w:uiPriority w:val="99"/>
    <w:qFormat/>
    <w:rPr>
      <w:rFonts w:ascii="Arial" w:eastAsia="宋体" w:hAnsi="Arial" w:cs="Times New Roman"/>
      <w:sz w:val="20"/>
      <w:szCs w:val="20"/>
      <w:lang w:val="en-US" w:eastAsia="zh-CN"/>
    </w:rPr>
  </w:style>
  <w:style w:type="character" w:customStyle="1" w:styleId="af0">
    <w:name w:val="批注主题 字符"/>
    <w:basedOn w:val="a5"/>
    <w:link w:val="af"/>
    <w:uiPriority w:val="99"/>
    <w:semiHidden/>
    <w:rPr>
      <w:rFonts w:ascii="Arial" w:eastAsia="宋体" w:hAnsi="Arial" w:cs="Times New Roman"/>
      <w:b/>
      <w:bCs/>
      <w:sz w:val="20"/>
      <w:szCs w:val="20"/>
      <w:lang w:val="en-US" w:eastAsia="zh-CN"/>
    </w:rPr>
  </w:style>
  <w:style w:type="character" w:customStyle="1" w:styleId="a9">
    <w:name w:val="批注框文本 字符"/>
    <w:basedOn w:val="a0"/>
    <w:link w:val="a8"/>
    <w:uiPriority w:val="99"/>
    <w:semiHidden/>
    <w:rPr>
      <w:rFonts w:ascii="Segoe UI" w:eastAsia="宋体" w:hAnsi="Segoe UI" w:cs="Segoe UI"/>
      <w:sz w:val="18"/>
      <w:szCs w:val="18"/>
      <w:lang w:val="en-US" w:eastAsia="zh-CN"/>
    </w:rPr>
  </w:style>
  <w:style w:type="character" w:customStyle="1" w:styleId="ad">
    <w:name w:val="页眉 字符"/>
    <w:basedOn w:val="a0"/>
    <w:link w:val="ac"/>
    <w:uiPriority w:val="99"/>
    <w:rPr>
      <w:rFonts w:ascii="Arial" w:eastAsia="宋体" w:hAnsi="Arial" w:cs="Times New Roman"/>
      <w:sz w:val="18"/>
      <w:szCs w:val="18"/>
      <w:lang w:val="en-US" w:eastAsia="zh-CN"/>
    </w:rPr>
  </w:style>
  <w:style w:type="character" w:customStyle="1" w:styleId="ab">
    <w:name w:val="页脚 字符"/>
    <w:basedOn w:val="a0"/>
    <w:link w:val="aa"/>
    <w:uiPriority w:val="99"/>
    <w:rPr>
      <w:rFonts w:ascii="Arial" w:eastAsia="宋体" w:hAnsi="Arial" w:cs="Times New Roman"/>
      <w:sz w:val="18"/>
      <w:szCs w:val="18"/>
      <w:lang w:val="en-US" w:eastAsia="zh-CN"/>
    </w:rPr>
  </w:style>
  <w:style w:type="character" w:customStyle="1" w:styleId="12">
    <w:name w:val="明显强调1"/>
    <w:basedOn w:val="a0"/>
    <w:uiPriority w:val="21"/>
    <w:qFormat/>
    <w:rPr>
      <w:i/>
      <w:iCs/>
      <w:color w:val="4472C4" w:themeColor="accent1"/>
    </w:rPr>
  </w:style>
  <w:style w:type="paragraph" w:customStyle="1" w:styleId="Agreement">
    <w:name w:val="Agreement"/>
    <w:basedOn w:val="a"/>
    <w:next w:val="a"/>
    <w:uiPriority w:val="99"/>
    <w:qFormat/>
    <w:pPr>
      <w:tabs>
        <w:tab w:val="left"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13">
    <w:name w:val="修订1"/>
    <w:hidden/>
    <w:uiPriority w:val="99"/>
    <w:semiHidden/>
    <w:rPr>
      <w:rFonts w:ascii="Arial" w:eastAsia="宋体" w:hAnsi="Arial"/>
    </w:rPr>
  </w:style>
  <w:style w:type="paragraph" w:customStyle="1" w:styleId="B2">
    <w:name w:val="B2"/>
    <w:basedOn w:val="21"/>
    <w:link w:val="B2Char"/>
    <w:qFormat/>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Pr>
      <w:rFonts w:eastAsia="MS Mincho"/>
      <w:kern w:val="2"/>
      <w:sz w:val="21"/>
      <w:lang w:eastAsia="zh-CN"/>
    </w:rPr>
  </w:style>
  <w:style w:type="paragraph" w:customStyle="1" w:styleId="B3">
    <w:name w:val="B3"/>
    <w:basedOn w:val="31"/>
    <w:link w:val="B3Char"/>
    <w:qFormat/>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Pr>
      <w:rFonts w:eastAsia="Times New Roman"/>
      <w:snapToGrid w:val="0"/>
      <w:color w:val="000000"/>
      <w:kern w:val="2"/>
      <w:sz w:val="21"/>
      <w:lang w:eastAsia="ja-JP"/>
    </w:rPr>
  </w:style>
  <w:style w:type="character" w:customStyle="1" w:styleId="B3Char2">
    <w:name w:val="B3 Char2"/>
    <w:qFormat/>
    <w:rPr>
      <w:rFonts w:eastAsia="Times New Roman"/>
      <w:lang w:val="en-GB" w:eastAsia="ja-JP"/>
    </w:rPr>
  </w:style>
  <w:style w:type="character" w:customStyle="1" w:styleId="42">
    <w:name w:val="标题 4 字符"/>
    <w:basedOn w:val="a0"/>
    <w:rPr>
      <w:rFonts w:ascii="Arial" w:eastAsia="Times New Roman" w:hAnsi="Arial" w:cs="Arial"/>
      <w:sz w:val="24"/>
      <w:lang w:val="en-US"/>
    </w:rPr>
  </w:style>
  <w:style w:type="character" w:customStyle="1" w:styleId="30">
    <w:name w:val="标题 3 字符"/>
    <w:basedOn w:val="a0"/>
    <w:link w:val="3"/>
    <w:rPr>
      <w:rFonts w:ascii="Times New Roman" w:eastAsia="Times New Roman" w:hAnsi="Times New Roman" w:cs="Times New Roman" w:hint="default"/>
      <w:b/>
      <w:sz w:val="32"/>
      <w:szCs w:val="32"/>
      <w:lang w:val="en-US"/>
    </w:rPr>
  </w:style>
  <w:style w:type="paragraph" w:customStyle="1" w:styleId="B4">
    <w:name w:val="B4"/>
    <w:basedOn w:val="40"/>
    <w:link w:val="B4Char"/>
    <w:pPr>
      <w:spacing w:after="180"/>
      <w:ind w:left="1418" w:hanging="284"/>
      <w:jc w:val="left"/>
    </w:pPr>
    <w:rPr>
      <w:rFonts w:eastAsia="Times New Roman"/>
      <w:lang w:val="en-US"/>
    </w:rPr>
  </w:style>
  <w:style w:type="character" w:customStyle="1" w:styleId="B4Char">
    <w:name w:val="B4 Char"/>
    <w:basedOn w:val="a0"/>
    <w:link w:val="B4"/>
    <w:rPr>
      <w:rFonts w:ascii="Times New Roman" w:eastAsia="Times New Roman" w:hAnsi="Times New Roman" w:cs="Times New Roman" w:hint="default"/>
      <w:lang w:val="en-US"/>
    </w:rPr>
  </w:style>
  <w:style w:type="paragraph" w:customStyle="1" w:styleId="B5">
    <w:name w:val="B5"/>
    <w:basedOn w:val="51"/>
    <w:link w:val="B5Char"/>
    <w:pPr>
      <w:spacing w:after="180"/>
      <w:ind w:left="1702" w:hanging="284"/>
      <w:jc w:val="left"/>
    </w:pPr>
    <w:rPr>
      <w:rFonts w:eastAsia="Times New Roman"/>
      <w:lang w:val="en-US"/>
    </w:rPr>
  </w:style>
  <w:style w:type="character" w:customStyle="1" w:styleId="B5Char">
    <w:name w:val="B5 Char"/>
    <w:basedOn w:val="a0"/>
    <w:link w:val="B5"/>
    <w:rPr>
      <w:rFonts w:ascii="Times New Roman" w:eastAsia="Times New Roman" w:hAnsi="Times New Roman" w:cs="Times New Roman" w:hint="defau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Pages>
  <Words>1118</Words>
  <Characters>6379</Characters>
  <Application>Microsoft Office Word</Application>
  <DocSecurity>0</DocSecurity>
  <Lines>53</Lines>
  <Paragraphs>14</Paragraphs>
  <ScaleCrop>false</ScaleCrop>
  <Company>Huawei Technologies Co., Ltd.</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Huawei/HiSilicon</dc:creator>
  <cp:lastModifiedBy>Huawei, HiSilicon</cp:lastModifiedBy>
  <cp:revision>25</cp:revision>
  <dcterms:created xsi:type="dcterms:W3CDTF">2023-04-10T10:39:00Z</dcterms:created>
  <dcterms:modified xsi:type="dcterms:W3CDTF">2024-02-19T09:52:00Z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(3)TKRuVoDkHyHhaBxKJvtkTIvbhHGH8C8qXsufaYSHDUdMoAVcCgn8eQ2yZ8C7ND1ri7eZbYot
h6gGxbSZmQ1Wroce0wt68sxhJv7+wY52TGBIhnBQYMZF62oM0wjLhYaAwl/2m+0kyqXb+KUE
5D8dhSqslplj50As28qjNtPMBsV9BxwTq3kk+YM1XxvAKga6wK1jk4holKcX2MFsRbYjo+51
+U7Uzw645ddkJxbPaj</vt:lpwstr>
  </property>
  <property fmtid="{D5CDD505-2E9C-101B-9397-08002B2CF9AE}" pid="3" name="_2015_ms_pID_7253431">
    <vt:lpwstr>ryR4SoRmxi+726r8wNjsLhK/UYDi0GSTqz96mlDRbbmYawj1lEE6dZ
BBaF6myjVmYbhvpMhpdisfruDnTQfNsArE0RwqOxxodS9+ortanKVUhLpeGBjy3DApzs34Tr
plkP8LZj9zfzfCFUHCvDEkHtezFVaL/LYjQWKJ5eHdgMwG/MuE3UyRtwaKBDVoWQDZocUs9C
WBtc7MPFa6Ewmc9g1a5X4xT1jBpWrf1Sv3pi</vt:lpwstr>
  </property>
  <property fmtid="{D5CDD505-2E9C-101B-9397-08002B2CF9AE}" pid="4" name="_2015_ms_pID_7253432">
    <vt:lpwstr>Ti+K+ddGvDJSkoeUaQVZWXU=</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1708220623</vt:lpwstr>
  </property>
</Properties>
</file>